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4F" w:rsidRPr="00834EAD" w:rsidRDefault="00D674AC" w:rsidP="00834EAD">
      <w:pPr>
        <w:jc w:val="center"/>
        <w:rPr>
          <w:b/>
          <w:i/>
          <w:u w:val="single"/>
        </w:rPr>
      </w:pPr>
      <w:r>
        <w:rPr>
          <w:b/>
          <w:i/>
          <w:u w:val="single"/>
        </w:rPr>
        <w:t>Procès-verbal du Conseil Municipal du</w:t>
      </w:r>
      <w:r w:rsidR="000835E1" w:rsidRPr="00834EAD">
        <w:rPr>
          <w:b/>
          <w:i/>
          <w:u w:val="single"/>
        </w:rPr>
        <w:t xml:space="preserve"> 10 JUIN 2024</w:t>
      </w:r>
    </w:p>
    <w:p w:rsidR="00D674AC" w:rsidRPr="00D674AC" w:rsidRDefault="00D674AC">
      <w:pPr>
        <w:rPr>
          <w:rFonts w:ascii="Times New Roman" w:hAnsi="Times New Roman" w:cs="Times New Roman"/>
          <w:b/>
          <w:u w:val="single"/>
        </w:rPr>
      </w:pPr>
      <w:r w:rsidRPr="00D674AC">
        <w:rPr>
          <w:rFonts w:ascii="Times New Roman" w:hAnsi="Times New Roman" w:cs="Times New Roman"/>
          <w:color w:val="000000"/>
        </w:rPr>
        <w:t>L'an 2024 et le 10 Juin à 18 heures, le Conseil Municipal de cette Commune, régulièrement convoqué, s'est réuni au nombre prescrit par la loi, dans le lieu habituel de ses séances, à la Mairie sous la présidence d'ESCURAT Elisabeth, Maire</w:t>
      </w:r>
    </w:p>
    <w:p w:rsidR="00D674AC" w:rsidRPr="00D674AC" w:rsidRDefault="00D674AC" w:rsidP="00D674A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D674AC">
        <w:rPr>
          <w:rFonts w:ascii="Times New Roman" w:hAnsi="Times New Roman" w:cs="Times New Roman"/>
          <w:color w:val="000000"/>
          <w:sz w:val="22"/>
          <w:szCs w:val="22"/>
        </w:rPr>
        <w:t>Présents : Mme ESCURAT Elisabeth, Maire, Mmes : AMANT Marie-</w:t>
      </w:r>
      <w:proofErr w:type="spellStart"/>
      <w:r w:rsidRPr="00D674AC">
        <w:rPr>
          <w:rFonts w:ascii="Times New Roman" w:hAnsi="Times New Roman" w:cs="Times New Roman"/>
          <w:color w:val="000000"/>
          <w:sz w:val="22"/>
          <w:szCs w:val="22"/>
        </w:rPr>
        <w:t>Noële</w:t>
      </w:r>
      <w:proofErr w:type="spellEnd"/>
      <w:r w:rsidRPr="00D674AC">
        <w:rPr>
          <w:rFonts w:ascii="Times New Roman" w:hAnsi="Times New Roman" w:cs="Times New Roman"/>
          <w:color w:val="000000"/>
          <w:sz w:val="22"/>
          <w:szCs w:val="22"/>
        </w:rPr>
        <w:t>, DAUVILLAIRE Jacqueline, MERET Sybille, MM : CHAPUIS Joseph, CHATILLON Gilles, MOREAU Benjamin, MOREAU Didier</w:t>
      </w:r>
    </w:p>
    <w:p w:rsidR="00D674AC" w:rsidRPr="00D674AC" w:rsidRDefault="00D674AC" w:rsidP="00D674A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D674AC">
        <w:rPr>
          <w:rFonts w:ascii="Times New Roman" w:hAnsi="Times New Roman" w:cs="Times New Roman"/>
          <w:color w:val="000000"/>
          <w:sz w:val="22"/>
          <w:szCs w:val="22"/>
        </w:rPr>
        <w:t>Absents : Absent(s) : M. WOZNIAK Bernard</w:t>
      </w:r>
    </w:p>
    <w:p w:rsidR="00D674AC" w:rsidRPr="00D674AC" w:rsidRDefault="00D674AC" w:rsidP="00D674A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D674AC">
        <w:rPr>
          <w:rFonts w:ascii="Times New Roman" w:hAnsi="Times New Roman" w:cs="Times New Roman"/>
          <w:color w:val="000000"/>
          <w:sz w:val="22"/>
          <w:szCs w:val="22"/>
        </w:rPr>
        <w:t>Absents excusés : Excusé(s) : M. MARCHAND Rémi</w:t>
      </w:r>
    </w:p>
    <w:p w:rsidR="00D674AC" w:rsidRPr="00D674AC" w:rsidRDefault="00D674AC" w:rsidP="00D674A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p>
    <w:p w:rsidR="00D674AC" w:rsidRPr="00D674AC" w:rsidRDefault="00D674AC" w:rsidP="00D674A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D674AC">
        <w:rPr>
          <w:rFonts w:ascii="Times New Roman" w:hAnsi="Times New Roman" w:cs="Times New Roman"/>
          <w:color w:val="000000"/>
          <w:sz w:val="22"/>
          <w:szCs w:val="22"/>
        </w:rPr>
        <w:t>Secrétaire de séance : M. CHATILLON Gilles</w:t>
      </w:r>
    </w:p>
    <w:p w:rsidR="00D674AC" w:rsidRDefault="00D674AC">
      <w:pPr>
        <w:rPr>
          <w:b/>
          <w:u w:val="single"/>
        </w:rPr>
      </w:pPr>
    </w:p>
    <w:p w:rsidR="000835E1" w:rsidRPr="00834EAD" w:rsidRDefault="000835E1">
      <w:pPr>
        <w:rPr>
          <w:b/>
          <w:u w:val="single"/>
        </w:rPr>
      </w:pPr>
      <w:r w:rsidRPr="00834EAD">
        <w:rPr>
          <w:b/>
          <w:u w:val="single"/>
        </w:rPr>
        <w:t>ZAER</w:t>
      </w:r>
    </w:p>
    <w:p w:rsidR="00A4021A" w:rsidRDefault="00A4021A" w:rsidP="00392395">
      <w:pPr>
        <w:pStyle w:val="Normal0"/>
        <w:jc w:val="both"/>
        <w:rPr>
          <w:rFonts w:ascii="Times New Roman" w:hAnsi="Times New Roman" w:cs="Times New Roman"/>
          <w:sz w:val="22"/>
          <w:szCs w:val="22"/>
        </w:rPr>
      </w:pPr>
      <w:bookmarkStart w:id="0" w:name="_GoBack"/>
      <w:r>
        <w:rPr>
          <w:rFonts w:ascii="Times New Roman" w:hAnsi="Times New Roman" w:cs="Times New Roman"/>
          <w:sz w:val="22"/>
          <w:szCs w:val="22"/>
        </w:rPr>
        <w:t>Le Maire donne lecture au conseil des contributions déposées en mairie lors de la consultation relative à la définition des ZAER sur la commune.</w:t>
      </w:r>
    </w:p>
    <w:p w:rsidR="00A4021A" w:rsidRDefault="00A4021A" w:rsidP="00392395">
      <w:pPr>
        <w:pStyle w:val="Normal0"/>
        <w:jc w:val="both"/>
        <w:rPr>
          <w:rFonts w:ascii="Times New Roman" w:hAnsi="Times New Roman" w:cs="Times New Roman"/>
          <w:sz w:val="22"/>
          <w:szCs w:val="22"/>
        </w:rPr>
      </w:pPr>
      <w:r>
        <w:rPr>
          <w:rFonts w:ascii="Times New Roman" w:hAnsi="Times New Roman" w:cs="Times New Roman"/>
          <w:sz w:val="22"/>
          <w:szCs w:val="22"/>
        </w:rPr>
        <w:t>Cette consultation avait été décidée par les membres du Conseil lors de leur réunion précédente</w:t>
      </w:r>
    </w:p>
    <w:p w:rsidR="00A4021A" w:rsidRDefault="00A4021A" w:rsidP="00392395">
      <w:pPr>
        <w:pStyle w:val="Normal0"/>
        <w:jc w:val="both"/>
        <w:rPr>
          <w:rFonts w:ascii="Times New Roman" w:hAnsi="Times New Roman" w:cs="Times New Roman"/>
          <w:sz w:val="22"/>
          <w:szCs w:val="22"/>
        </w:rPr>
      </w:pPr>
      <w:r>
        <w:rPr>
          <w:rFonts w:ascii="Times New Roman" w:hAnsi="Times New Roman" w:cs="Times New Roman"/>
          <w:sz w:val="22"/>
          <w:szCs w:val="22"/>
        </w:rPr>
        <w:t>Après en avoir délibéré, le Conseil Municipal décide à l’unanimité de retenir les zones « ZAER » suivantes :</w:t>
      </w:r>
    </w:p>
    <w:p w:rsidR="00A4021A" w:rsidRDefault="00A4021A" w:rsidP="00392395">
      <w:pPr>
        <w:pStyle w:val="Normal0"/>
        <w:jc w:val="both"/>
        <w:rPr>
          <w:rFonts w:ascii="Times New Roman" w:hAnsi="Times New Roman" w:cs="Times New Roman"/>
          <w:sz w:val="22"/>
          <w:szCs w:val="22"/>
        </w:rPr>
      </w:pPr>
      <w:r>
        <w:rPr>
          <w:rFonts w:ascii="Times New Roman" w:hAnsi="Times New Roman" w:cs="Times New Roman"/>
          <w:sz w:val="22"/>
          <w:szCs w:val="22"/>
        </w:rPr>
        <w:t>- pas de zones d'accélération d'énergies renouvelables pour l'éolien sur le territoire la commune</w:t>
      </w:r>
    </w:p>
    <w:p w:rsidR="00A4021A" w:rsidRDefault="00A4021A" w:rsidP="00392395">
      <w:pPr>
        <w:pStyle w:val="Normal0"/>
        <w:jc w:val="both"/>
        <w:rPr>
          <w:rFonts w:ascii="Times New Roman" w:hAnsi="Times New Roman" w:cs="Times New Roman"/>
          <w:sz w:val="22"/>
          <w:szCs w:val="22"/>
        </w:rPr>
      </w:pPr>
    </w:p>
    <w:p w:rsidR="00A4021A" w:rsidRDefault="00A4021A" w:rsidP="00392395">
      <w:pPr>
        <w:pStyle w:val="Normal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t>les projets de la géothermie individuelle, la méthanisation ainsi que la pose de panneaux</w:t>
      </w:r>
    </w:p>
    <w:p w:rsidR="00A4021A" w:rsidRDefault="00A4021A" w:rsidP="00392395">
      <w:pPr>
        <w:pStyle w:val="Normal0"/>
        <w:jc w:val="both"/>
        <w:rPr>
          <w:rFonts w:ascii="Times New Roman" w:hAnsi="Times New Roman" w:cs="Times New Roman"/>
          <w:sz w:val="22"/>
          <w:szCs w:val="22"/>
        </w:rPr>
      </w:pPr>
      <w:proofErr w:type="gramStart"/>
      <w:r>
        <w:rPr>
          <w:rFonts w:ascii="Times New Roman" w:hAnsi="Times New Roman" w:cs="Times New Roman"/>
          <w:sz w:val="22"/>
          <w:szCs w:val="22"/>
        </w:rPr>
        <w:t>photovoltaïques</w:t>
      </w:r>
      <w:proofErr w:type="gramEnd"/>
      <w:r>
        <w:rPr>
          <w:rFonts w:ascii="Times New Roman" w:hAnsi="Times New Roman" w:cs="Times New Roman"/>
          <w:sz w:val="22"/>
          <w:szCs w:val="22"/>
        </w:rPr>
        <w:t xml:space="preserve"> sur les bâtiments pourront se faire sur tout le territoire de la commune</w:t>
      </w:r>
    </w:p>
    <w:p w:rsidR="00A4021A" w:rsidRDefault="00A4021A" w:rsidP="00392395">
      <w:pPr>
        <w:pStyle w:val="Normal0"/>
        <w:jc w:val="both"/>
        <w:rPr>
          <w:rFonts w:ascii="Times New Roman" w:hAnsi="Times New Roman" w:cs="Times New Roman"/>
          <w:sz w:val="22"/>
          <w:szCs w:val="22"/>
        </w:rPr>
      </w:pPr>
    </w:p>
    <w:p w:rsidR="00A4021A" w:rsidRDefault="00A4021A" w:rsidP="00392395">
      <w:pPr>
        <w:pStyle w:val="Normal0"/>
        <w:jc w:val="both"/>
        <w:rPr>
          <w:rFonts w:ascii="Times New Roman" w:hAnsi="Times New Roman" w:cs="Times New Roman"/>
          <w:sz w:val="22"/>
          <w:szCs w:val="22"/>
        </w:rPr>
      </w:pPr>
      <w:r>
        <w:rPr>
          <w:rFonts w:ascii="Times New Roman" w:hAnsi="Times New Roman" w:cs="Times New Roman"/>
          <w:sz w:val="22"/>
          <w:szCs w:val="22"/>
        </w:rPr>
        <w:t>-  Les ZAER pour les panneaux photovoltaïques au sol sont définies comme suit :</w:t>
      </w:r>
    </w:p>
    <w:p w:rsidR="006430D4" w:rsidRDefault="00D849F3" w:rsidP="00392395">
      <w:pPr>
        <w:jc w:val="both"/>
        <w:rPr>
          <w:sz w:val="24"/>
          <w:szCs w:val="24"/>
        </w:rPr>
      </w:pPr>
      <w:r w:rsidRPr="00593C5E">
        <w:rPr>
          <w:sz w:val="24"/>
          <w:szCs w:val="24"/>
        </w:rPr>
        <w:t xml:space="preserve">A204, A216, A 420, </w:t>
      </w:r>
      <w:r w:rsidR="006430D4" w:rsidRPr="00593C5E">
        <w:rPr>
          <w:sz w:val="24"/>
          <w:szCs w:val="24"/>
        </w:rPr>
        <w:t>A 422, A424,</w:t>
      </w:r>
      <w:r w:rsidRPr="00593C5E">
        <w:rPr>
          <w:sz w:val="24"/>
          <w:szCs w:val="24"/>
        </w:rPr>
        <w:t xml:space="preserve"> A427, A 431, B112, B116, B117, B122, B124,</w:t>
      </w:r>
      <w:r w:rsidR="00593C5E">
        <w:rPr>
          <w:sz w:val="24"/>
          <w:szCs w:val="24"/>
        </w:rPr>
        <w:t xml:space="preserve"> </w:t>
      </w:r>
      <w:r w:rsidRPr="00593C5E">
        <w:rPr>
          <w:sz w:val="24"/>
          <w:szCs w:val="24"/>
        </w:rPr>
        <w:t>B125, B126,</w:t>
      </w:r>
      <w:r w:rsidR="00593C5E">
        <w:rPr>
          <w:sz w:val="24"/>
          <w:szCs w:val="24"/>
        </w:rPr>
        <w:t xml:space="preserve"> </w:t>
      </w:r>
      <w:r w:rsidRPr="00593C5E">
        <w:rPr>
          <w:sz w:val="24"/>
          <w:szCs w:val="24"/>
        </w:rPr>
        <w:t>B127B130, B131, B132, B145,</w:t>
      </w:r>
      <w:r w:rsidR="00593C5E">
        <w:rPr>
          <w:sz w:val="24"/>
          <w:szCs w:val="24"/>
        </w:rPr>
        <w:t xml:space="preserve"> </w:t>
      </w:r>
      <w:r w:rsidRPr="00593C5E">
        <w:rPr>
          <w:sz w:val="24"/>
          <w:szCs w:val="24"/>
        </w:rPr>
        <w:t>B154, B155, B156, B157, B 165,</w:t>
      </w:r>
      <w:r w:rsidR="00593C5E">
        <w:rPr>
          <w:sz w:val="24"/>
          <w:szCs w:val="24"/>
        </w:rPr>
        <w:t xml:space="preserve"> </w:t>
      </w:r>
      <w:r w:rsidRPr="00593C5E">
        <w:rPr>
          <w:sz w:val="24"/>
          <w:szCs w:val="24"/>
        </w:rPr>
        <w:t xml:space="preserve">B166, B167, B168, </w:t>
      </w:r>
      <w:r w:rsidR="00297428" w:rsidRPr="00593C5E">
        <w:rPr>
          <w:sz w:val="24"/>
          <w:szCs w:val="24"/>
        </w:rPr>
        <w:t>B199,</w:t>
      </w:r>
      <w:r w:rsidR="00593C5E">
        <w:rPr>
          <w:sz w:val="24"/>
          <w:szCs w:val="24"/>
        </w:rPr>
        <w:t xml:space="preserve"> </w:t>
      </w:r>
      <w:r w:rsidRPr="00593C5E">
        <w:rPr>
          <w:sz w:val="24"/>
          <w:szCs w:val="24"/>
        </w:rPr>
        <w:t>B206, B207, B213,</w:t>
      </w:r>
      <w:r w:rsidR="00593C5E">
        <w:rPr>
          <w:sz w:val="24"/>
          <w:szCs w:val="24"/>
        </w:rPr>
        <w:t xml:space="preserve"> </w:t>
      </w:r>
      <w:r w:rsidRPr="00593C5E">
        <w:rPr>
          <w:sz w:val="24"/>
          <w:szCs w:val="24"/>
        </w:rPr>
        <w:t>B219, B220, B221, B224, B225, B228,</w:t>
      </w:r>
      <w:r w:rsidR="00593C5E">
        <w:rPr>
          <w:sz w:val="24"/>
          <w:szCs w:val="24"/>
        </w:rPr>
        <w:t xml:space="preserve"> </w:t>
      </w:r>
      <w:r w:rsidRPr="00593C5E">
        <w:rPr>
          <w:sz w:val="24"/>
          <w:szCs w:val="24"/>
        </w:rPr>
        <w:t>B229,</w:t>
      </w:r>
      <w:r w:rsidR="00593C5E">
        <w:rPr>
          <w:sz w:val="24"/>
          <w:szCs w:val="24"/>
        </w:rPr>
        <w:t xml:space="preserve"> </w:t>
      </w:r>
      <w:r w:rsidRPr="00593C5E">
        <w:rPr>
          <w:sz w:val="24"/>
          <w:szCs w:val="24"/>
        </w:rPr>
        <w:t>B230, B246</w:t>
      </w:r>
      <w:r w:rsidR="006008DD">
        <w:rPr>
          <w:sz w:val="24"/>
          <w:szCs w:val="24"/>
        </w:rPr>
        <w:t>.</w:t>
      </w:r>
    </w:p>
    <w:p w:rsidR="00593C5E" w:rsidRPr="00593C5E" w:rsidRDefault="00593C5E" w:rsidP="00392395">
      <w:pPr>
        <w:jc w:val="both"/>
        <w:rPr>
          <w:sz w:val="24"/>
          <w:szCs w:val="24"/>
        </w:rPr>
      </w:pPr>
      <w:r>
        <w:rPr>
          <w:sz w:val="24"/>
          <w:szCs w:val="24"/>
        </w:rPr>
        <w:t>Il charge le 1</w:t>
      </w:r>
      <w:r w:rsidRPr="00593C5E">
        <w:rPr>
          <w:sz w:val="24"/>
          <w:szCs w:val="24"/>
          <w:vertAlign w:val="superscript"/>
        </w:rPr>
        <w:t>er</w:t>
      </w:r>
      <w:r>
        <w:rPr>
          <w:sz w:val="24"/>
          <w:szCs w:val="24"/>
        </w:rPr>
        <w:t xml:space="preserve"> adjoint d’enregistrer ces </w:t>
      </w:r>
      <w:r w:rsidR="003F11B1">
        <w:rPr>
          <w:sz w:val="24"/>
          <w:szCs w:val="24"/>
        </w:rPr>
        <w:t>ZAER</w:t>
      </w:r>
      <w:r>
        <w:rPr>
          <w:sz w:val="24"/>
          <w:szCs w:val="24"/>
        </w:rPr>
        <w:t xml:space="preserve"> sur le site du SIEEEN</w:t>
      </w:r>
    </w:p>
    <w:bookmarkEnd w:id="0"/>
    <w:p w:rsidR="00834EAD" w:rsidRDefault="00834EAD"/>
    <w:p w:rsidR="000835E1" w:rsidRPr="000835E1" w:rsidRDefault="000835E1">
      <w:pPr>
        <w:rPr>
          <w:b/>
          <w:u w:val="single"/>
        </w:rPr>
      </w:pPr>
      <w:r w:rsidRPr="000835E1">
        <w:rPr>
          <w:b/>
          <w:u w:val="single"/>
        </w:rPr>
        <w:t>Modifications statuts CCSN</w:t>
      </w:r>
    </w:p>
    <w:p w:rsidR="000835E1" w:rsidRPr="000835E1" w:rsidRDefault="000835E1" w:rsidP="000835E1">
      <w:pPr>
        <w:jc w:val="both"/>
        <w:rPr>
          <w:rFonts w:ascii="Times New Roman" w:hAnsi="Times New Roman" w:cs="Times New Roman"/>
        </w:rPr>
      </w:pPr>
      <w:r w:rsidRPr="000835E1">
        <w:rPr>
          <w:rFonts w:ascii="Times New Roman" w:hAnsi="Times New Roman" w:cs="Times New Roman"/>
        </w:rPr>
        <w:t>Par la délibération n° 2024-056 du 28 mai 2024, le conseil communautaire a approuvé la modification des statuts de la Communauté de communes Sud Nivernais, en vue de prendre la compétence « Conduite des procédures de passation et d’exécution des marchés publics, au nom et pour le compte des communes-membres » conformément aux dispositions de l’article 65 de la loi n° 2019-1461 du 27 décembre 2019 relative à l’engagement dans la vie locale et à la proximité de l’action publique qui introduit dans le Code général des collectivités territoriales (CGCT) un nouvel article L. 5211-4-4 qui prévoit qu’un EPCI à fiscalité propre peut désormais passer et exécuter des marchés publics pour le compte de ses communes-membres réunies en groupement de commande.</w:t>
      </w:r>
    </w:p>
    <w:p w:rsidR="000835E1" w:rsidRPr="000835E1" w:rsidRDefault="000835E1" w:rsidP="000835E1">
      <w:pPr>
        <w:jc w:val="both"/>
        <w:rPr>
          <w:rFonts w:ascii="Times New Roman" w:hAnsi="Times New Roman" w:cs="Times New Roman"/>
        </w:rPr>
      </w:pPr>
      <w:r w:rsidRPr="000835E1">
        <w:rPr>
          <w:rFonts w:ascii="Times New Roman" w:hAnsi="Times New Roman" w:cs="Times New Roman"/>
        </w:rPr>
        <w:t>En application des dispositions de l’article L5211-17 du code général des collectivités territoriales, cette modification statutaire doit faire l’objet de délibérations concordantes des conseils municipaux, se prononçant dans les conditions de majorité qualifiée.</w:t>
      </w:r>
    </w:p>
    <w:p w:rsidR="000835E1" w:rsidRPr="000835E1" w:rsidRDefault="000835E1" w:rsidP="000835E1">
      <w:pPr>
        <w:jc w:val="both"/>
        <w:rPr>
          <w:rFonts w:ascii="Times New Roman" w:hAnsi="Times New Roman" w:cs="Times New Roman"/>
        </w:rPr>
      </w:pPr>
      <w:r w:rsidRPr="000835E1">
        <w:rPr>
          <w:rFonts w:ascii="Times New Roman" w:hAnsi="Times New Roman" w:cs="Times New Roman"/>
        </w:rPr>
        <w:t>La modification des statuts sera ensuite prononcée par un arrêté du préfet de la Nièvre.</w:t>
      </w:r>
    </w:p>
    <w:p w:rsidR="000835E1" w:rsidRPr="000835E1" w:rsidRDefault="000835E1" w:rsidP="000835E1">
      <w:pPr>
        <w:jc w:val="both"/>
        <w:rPr>
          <w:rFonts w:ascii="Times New Roman" w:hAnsi="Times New Roman" w:cs="Times New Roman"/>
        </w:rPr>
      </w:pPr>
      <w:r w:rsidRPr="000835E1">
        <w:rPr>
          <w:rFonts w:ascii="Times New Roman" w:hAnsi="Times New Roman" w:cs="Times New Roman"/>
        </w:rPr>
        <w:t>Le conseil municipal,</w:t>
      </w:r>
    </w:p>
    <w:p w:rsidR="000835E1" w:rsidRPr="000835E1" w:rsidRDefault="000835E1" w:rsidP="000835E1">
      <w:pPr>
        <w:jc w:val="both"/>
        <w:rPr>
          <w:rFonts w:ascii="Times New Roman" w:hAnsi="Times New Roman" w:cs="Times New Roman"/>
        </w:rPr>
      </w:pPr>
      <w:r w:rsidRPr="000835E1">
        <w:rPr>
          <w:rFonts w:ascii="Times New Roman" w:hAnsi="Times New Roman" w:cs="Times New Roman"/>
        </w:rPr>
        <w:t>Après avoir pris connaissance du projet de modification des statuts,</w:t>
      </w:r>
    </w:p>
    <w:p w:rsidR="000835E1" w:rsidRPr="000835E1" w:rsidRDefault="000835E1" w:rsidP="000835E1">
      <w:pPr>
        <w:jc w:val="both"/>
        <w:rPr>
          <w:rFonts w:ascii="Times New Roman" w:hAnsi="Times New Roman" w:cs="Times New Roman"/>
        </w:rPr>
      </w:pPr>
      <w:r w:rsidRPr="000835E1">
        <w:rPr>
          <w:rFonts w:ascii="Times New Roman" w:hAnsi="Times New Roman" w:cs="Times New Roman"/>
        </w:rPr>
        <w:lastRenderedPageBreak/>
        <w:t>Après en avoir délibéré,</w:t>
      </w:r>
    </w:p>
    <w:p w:rsidR="000835E1" w:rsidRPr="000835E1" w:rsidRDefault="000835E1" w:rsidP="000835E1">
      <w:pPr>
        <w:jc w:val="both"/>
        <w:rPr>
          <w:rFonts w:ascii="Times New Roman" w:hAnsi="Times New Roman" w:cs="Times New Roman"/>
        </w:rPr>
      </w:pPr>
      <w:r w:rsidRPr="000835E1">
        <w:rPr>
          <w:rFonts w:ascii="Times New Roman" w:hAnsi="Times New Roman" w:cs="Times New Roman"/>
        </w:rPr>
        <w:t>Décide d’approuver la modification des statuts de la communauté de communes Sud Nivernais décidé par le conseil communautaire du 28 mai 2024.</w:t>
      </w:r>
    </w:p>
    <w:p w:rsidR="000835E1" w:rsidRDefault="000835E1"/>
    <w:p w:rsidR="000835E1" w:rsidRPr="000835E1" w:rsidRDefault="000835E1">
      <w:pPr>
        <w:rPr>
          <w:b/>
          <w:u w:val="single"/>
        </w:rPr>
      </w:pPr>
      <w:r w:rsidRPr="000835E1">
        <w:rPr>
          <w:b/>
          <w:u w:val="single"/>
        </w:rPr>
        <w:t>Lignes directrices de gestion</w:t>
      </w:r>
    </w:p>
    <w:p w:rsidR="000835E1" w:rsidRPr="000835E1" w:rsidRDefault="000835E1">
      <w:pPr>
        <w:rPr>
          <w:rFonts w:ascii="Times New Roman" w:hAnsi="Times New Roman" w:cs="Times New Roman"/>
          <w:sz w:val="24"/>
          <w:szCs w:val="24"/>
        </w:rPr>
      </w:pPr>
      <w:r w:rsidRPr="000835E1">
        <w:rPr>
          <w:rFonts w:ascii="Times New Roman" w:hAnsi="Times New Roman" w:cs="Times New Roman"/>
          <w:sz w:val="24"/>
          <w:szCs w:val="24"/>
        </w:rPr>
        <w:t xml:space="preserve">Le Maire informe le Conseil que le projet de délibération relatif aux lignes directives de gestion pour le personne a été approuvé le </w:t>
      </w:r>
      <w:r w:rsidR="007C6F72">
        <w:rPr>
          <w:rFonts w:ascii="Times New Roman" w:hAnsi="Times New Roman" w:cs="Times New Roman"/>
          <w:sz w:val="24"/>
          <w:szCs w:val="24"/>
        </w:rPr>
        <w:t>5/04/2024</w:t>
      </w:r>
      <w:r w:rsidR="00C23DFF">
        <w:rPr>
          <w:rFonts w:ascii="Times New Roman" w:hAnsi="Times New Roman" w:cs="Times New Roman"/>
          <w:sz w:val="24"/>
          <w:szCs w:val="24"/>
        </w:rPr>
        <w:t xml:space="preserve"> </w:t>
      </w:r>
      <w:r w:rsidRPr="000835E1">
        <w:rPr>
          <w:rFonts w:ascii="Times New Roman" w:hAnsi="Times New Roman" w:cs="Times New Roman"/>
          <w:sz w:val="24"/>
          <w:szCs w:val="24"/>
        </w:rPr>
        <w:t>par le</w:t>
      </w:r>
      <w:r w:rsidR="007C6F72">
        <w:rPr>
          <w:rFonts w:ascii="Times New Roman" w:hAnsi="Times New Roman" w:cs="Times New Roman"/>
          <w:sz w:val="24"/>
          <w:szCs w:val="24"/>
        </w:rPr>
        <w:t xml:space="preserve"> </w:t>
      </w:r>
      <w:proofErr w:type="gramStart"/>
      <w:r w:rsidR="007C6F72">
        <w:rPr>
          <w:rFonts w:ascii="Times New Roman" w:hAnsi="Times New Roman" w:cs="Times New Roman"/>
          <w:sz w:val="24"/>
          <w:szCs w:val="24"/>
        </w:rPr>
        <w:t>CST</w:t>
      </w:r>
      <w:r w:rsidRPr="000835E1">
        <w:rPr>
          <w:rFonts w:ascii="Times New Roman" w:hAnsi="Times New Roman" w:cs="Times New Roman"/>
          <w:sz w:val="24"/>
          <w:szCs w:val="24"/>
        </w:rPr>
        <w:t xml:space="preserve"> .</w:t>
      </w:r>
      <w:proofErr w:type="gramEnd"/>
      <w:r w:rsidRPr="000835E1">
        <w:rPr>
          <w:rFonts w:ascii="Times New Roman" w:hAnsi="Times New Roman" w:cs="Times New Roman"/>
          <w:sz w:val="24"/>
          <w:szCs w:val="24"/>
        </w:rPr>
        <w:t xml:space="preserve"> Le Maire propose de valider </w:t>
      </w:r>
      <w:r w:rsidR="00B64FC1">
        <w:rPr>
          <w:rFonts w:ascii="Times New Roman" w:hAnsi="Times New Roman" w:cs="Times New Roman"/>
          <w:sz w:val="24"/>
          <w:szCs w:val="24"/>
        </w:rPr>
        <w:t xml:space="preserve">les </w:t>
      </w:r>
      <w:r w:rsidRPr="000835E1">
        <w:rPr>
          <w:rFonts w:ascii="Times New Roman" w:hAnsi="Times New Roman" w:cs="Times New Roman"/>
          <w:sz w:val="24"/>
          <w:szCs w:val="24"/>
        </w:rPr>
        <w:t>lignes directives de gestion.</w:t>
      </w:r>
    </w:p>
    <w:p w:rsidR="000835E1" w:rsidRPr="000835E1" w:rsidRDefault="000835E1">
      <w:pPr>
        <w:rPr>
          <w:rFonts w:ascii="Times New Roman" w:hAnsi="Times New Roman" w:cs="Times New Roman"/>
          <w:sz w:val="24"/>
          <w:szCs w:val="24"/>
        </w:rPr>
      </w:pPr>
      <w:r w:rsidRPr="000835E1">
        <w:rPr>
          <w:rFonts w:ascii="Times New Roman" w:hAnsi="Times New Roman" w:cs="Times New Roman"/>
          <w:sz w:val="24"/>
          <w:szCs w:val="24"/>
        </w:rPr>
        <w:t>Après en avoir délibéré, le conseil municipal décide à l’unanimité de valider les LDG comme suit :</w:t>
      </w:r>
    </w:p>
    <w:p w:rsidR="000835E1" w:rsidRPr="000835E1" w:rsidRDefault="000835E1" w:rsidP="000835E1">
      <w:pPr>
        <w:ind w:left="426"/>
        <w:rPr>
          <w:rFonts w:ascii="Times New Roman" w:hAnsi="Times New Roman" w:cs="Times New Roman"/>
          <w:b/>
          <w:bCs/>
          <w:sz w:val="20"/>
          <w:szCs w:val="20"/>
          <w:u w:val="single"/>
        </w:rPr>
      </w:pPr>
      <w:r w:rsidRPr="000835E1">
        <w:rPr>
          <w:rFonts w:ascii="Times New Roman" w:hAnsi="Times New Roman" w:cs="Times New Roman"/>
          <w:b/>
          <w:bCs/>
          <w:sz w:val="20"/>
          <w:szCs w:val="20"/>
          <w:u w:val="single"/>
        </w:rPr>
        <w:t>CADRE REGLEMENTAIRE</w:t>
      </w:r>
    </w:p>
    <w:p w:rsidR="000835E1" w:rsidRPr="000835E1" w:rsidRDefault="000835E1" w:rsidP="000835E1">
      <w:pPr>
        <w:ind w:left="426"/>
        <w:jc w:val="both"/>
        <w:rPr>
          <w:rFonts w:ascii="Times New Roman" w:hAnsi="Times New Roman" w:cs="Times New Roman"/>
          <w:sz w:val="20"/>
          <w:szCs w:val="20"/>
        </w:rPr>
      </w:pPr>
      <w:r w:rsidRPr="000835E1">
        <w:rPr>
          <w:rFonts w:ascii="Times New Roman" w:hAnsi="Times New Roman" w:cs="Times New Roman"/>
          <w:sz w:val="20"/>
          <w:szCs w:val="20"/>
        </w:rPr>
        <w:t>La loi de transformation de la Fonction Publique du 6 août 2019 a prévu l’obligation pour toutes les collectivités et établissements publics de définir leur Lignes Directrices de Gestion (LDG) depuis le 1</w:t>
      </w:r>
      <w:r w:rsidRPr="000835E1">
        <w:rPr>
          <w:rFonts w:ascii="Times New Roman" w:hAnsi="Times New Roman" w:cs="Times New Roman"/>
          <w:sz w:val="20"/>
          <w:szCs w:val="20"/>
          <w:vertAlign w:val="superscript"/>
        </w:rPr>
        <w:t>er</w:t>
      </w:r>
      <w:r w:rsidRPr="000835E1">
        <w:rPr>
          <w:rFonts w:ascii="Times New Roman" w:hAnsi="Times New Roman" w:cs="Times New Roman"/>
          <w:sz w:val="20"/>
          <w:szCs w:val="20"/>
        </w:rPr>
        <w:t xml:space="preserve"> janvier 2021, après avis du comité technique.</w:t>
      </w:r>
    </w:p>
    <w:p w:rsidR="000835E1" w:rsidRPr="000835E1" w:rsidRDefault="000835E1" w:rsidP="000835E1">
      <w:pPr>
        <w:ind w:left="426"/>
        <w:jc w:val="both"/>
        <w:rPr>
          <w:rFonts w:ascii="Times New Roman" w:hAnsi="Times New Roman" w:cs="Times New Roman"/>
          <w:sz w:val="20"/>
          <w:szCs w:val="20"/>
        </w:rPr>
      </w:pPr>
      <w:r w:rsidRPr="000835E1">
        <w:rPr>
          <w:rFonts w:ascii="Times New Roman" w:hAnsi="Times New Roman" w:cs="Times New Roman"/>
          <w:sz w:val="20"/>
          <w:szCs w:val="20"/>
        </w:rPr>
        <w:t>Conformément à l’article 33-5 de la loi n° 84-53 du 26 janvier 1984 et aux dispositions réglementaires apportées par le décret n° 2019-1265 du 29 novembre 2019, chaque collectivité ou établissement public élabore des LDG afin de formaliser sa politique des ressources humaines pour une durée pluriannuelle de 6 ans maximum.</w:t>
      </w:r>
    </w:p>
    <w:p w:rsidR="000835E1" w:rsidRPr="000835E1" w:rsidRDefault="000835E1" w:rsidP="000835E1">
      <w:pPr>
        <w:ind w:left="426"/>
        <w:jc w:val="both"/>
        <w:rPr>
          <w:rFonts w:ascii="Times New Roman" w:hAnsi="Times New Roman" w:cs="Times New Roman"/>
          <w:sz w:val="20"/>
          <w:szCs w:val="20"/>
        </w:rPr>
      </w:pPr>
      <w:r w:rsidRPr="000835E1">
        <w:rPr>
          <w:rFonts w:ascii="Times New Roman" w:hAnsi="Times New Roman" w:cs="Times New Roman"/>
          <w:sz w:val="20"/>
          <w:szCs w:val="20"/>
        </w:rPr>
        <w:t>Les LDG recouvrent deux volets et doivent :</w:t>
      </w:r>
    </w:p>
    <w:p w:rsidR="000835E1" w:rsidRPr="000835E1" w:rsidRDefault="000835E1" w:rsidP="000835E1">
      <w:pPr>
        <w:numPr>
          <w:ilvl w:val="0"/>
          <w:numId w:val="3"/>
        </w:num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Déterminer la stratégie pluriannuelle de pilotage des ressources humaines, notamment en matière de Gestion Prévisionnelle des Emplois et des Compétences (GPEC).</w:t>
      </w:r>
    </w:p>
    <w:p w:rsidR="000835E1" w:rsidRPr="000835E1" w:rsidRDefault="000835E1" w:rsidP="000835E1">
      <w:pPr>
        <w:numPr>
          <w:ilvl w:val="0"/>
          <w:numId w:val="3"/>
        </w:num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Fixer des orientations générales en matière de promotion et de valorisation des parcours professionnels. Elles favorisent, en matière de recrutement, l’adaptation des compétences et l’évolution des missions ainsi que des métiers, la diversité des profils, la valorisation des parcours professionnels ainsi que l’égalité professionnelle entre les femmes et les hommes.</w:t>
      </w:r>
    </w:p>
    <w:p w:rsidR="000835E1" w:rsidRPr="000835E1" w:rsidRDefault="000835E1" w:rsidP="000835E1">
      <w:pPr>
        <w:numPr>
          <w:ilvl w:val="0"/>
          <w:numId w:val="3"/>
        </w:num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b/>
          <w:sz w:val="20"/>
          <w:szCs w:val="20"/>
        </w:rPr>
      </w:pPr>
      <w:r w:rsidRPr="000835E1">
        <w:rPr>
          <w:rFonts w:ascii="Times New Roman" w:hAnsi="Times New Roman" w:cs="Times New Roman"/>
          <w:b/>
          <w:sz w:val="20"/>
          <w:szCs w:val="20"/>
        </w:rPr>
        <w:t>I/ L’état des lieux</w:t>
      </w:r>
    </w:p>
    <w:p w:rsidR="000835E1" w:rsidRPr="000835E1" w:rsidRDefault="000835E1" w:rsidP="000835E1">
      <w:pPr>
        <w:spacing w:after="0" w:line="240" w:lineRule="auto"/>
        <w:jc w:val="both"/>
        <w:rPr>
          <w:rFonts w:ascii="Times New Roman" w:hAnsi="Times New Roman" w:cs="Times New Roman"/>
          <w:color w:val="2F5496"/>
          <w:sz w:val="20"/>
          <w:szCs w:val="20"/>
        </w:rPr>
      </w:pPr>
      <w:r w:rsidRPr="000835E1">
        <w:rPr>
          <w:rFonts w:ascii="Times New Roman" w:hAnsi="Times New Roman" w:cs="Times New Roman"/>
          <w:sz w:val="20"/>
          <w:szCs w:val="20"/>
        </w:rPr>
        <w:t>Les lignes directrices de gestion s’appuient sur un certain nombre de documents existants au sein de la collectivité :</w:t>
      </w:r>
    </w:p>
    <w:p w:rsidR="000835E1" w:rsidRPr="000835E1" w:rsidRDefault="000835E1" w:rsidP="000835E1">
      <w:pPr>
        <w:pStyle w:val="Paragraphedeliste"/>
        <w:numPr>
          <w:ilvl w:val="0"/>
          <w:numId w:val="4"/>
        </w:numPr>
        <w:spacing w:after="0" w:line="240" w:lineRule="auto"/>
        <w:jc w:val="both"/>
        <w:rPr>
          <w:rFonts w:ascii="Times New Roman" w:hAnsi="Times New Roman"/>
          <w:sz w:val="20"/>
          <w:szCs w:val="20"/>
        </w:rPr>
      </w:pPr>
      <w:r w:rsidRPr="000835E1">
        <w:rPr>
          <w:rFonts w:ascii="Times New Roman" w:hAnsi="Times New Roman"/>
          <w:sz w:val="20"/>
          <w:szCs w:val="20"/>
        </w:rPr>
        <w:t>Le Rapport Social Unique et les données issues de l’application Données sociales ;</w:t>
      </w:r>
    </w:p>
    <w:p w:rsidR="000835E1" w:rsidRPr="000835E1" w:rsidRDefault="000835E1" w:rsidP="000835E1">
      <w:pPr>
        <w:pStyle w:val="Paragraphedeliste"/>
        <w:numPr>
          <w:ilvl w:val="0"/>
          <w:numId w:val="4"/>
        </w:numPr>
        <w:spacing w:after="0" w:line="240" w:lineRule="auto"/>
        <w:jc w:val="both"/>
        <w:rPr>
          <w:rFonts w:ascii="Times New Roman" w:hAnsi="Times New Roman"/>
          <w:sz w:val="20"/>
          <w:szCs w:val="20"/>
        </w:rPr>
      </w:pPr>
      <w:r w:rsidRPr="000835E1">
        <w:rPr>
          <w:rFonts w:ascii="Times New Roman" w:hAnsi="Times New Roman"/>
          <w:sz w:val="20"/>
          <w:szCs w:val="20"/>
        </w:rPr>
        <w:t>Le Budget primitif et le Compte administratif ;</w:t>
      </w:r>
    </w:p>
    <w:p w:rsidR="000835E1" w:rsidRPr="000835E1" w:rsidRDefault="000835E1" w:rsidP="000835E1">
      <w:pPr>
        <w:pStyle w:val="Paragraphedeliste"/>
        <w:numPr>
          <w:ilvl w:val="0"/>
          <w:numId w:val="4"/>
        </w:numPr>
        <w:spacing w:after="0" w:line="240" w:lineRule="auto"/>
        <w:jc w:val="both"/>
        <w:rPr>
          <w:rFonts w:ascii="Times New Roman" w:hAnsi="Times New Roman"/>
          <w:sz w:val="20"/>
          <w:szCs w:val="20"/>
        </w:rPr>
      </w:pPr>
      <w:r w:rsidRPr="000835E1">
        <w:rPr>
          <w:rFonts w:ascii="Times New Roman" w:hAnsi="Times New Roman"/>
          <w:sz w:val="20"/>
          <w:szCs w:val="20"/>
        </w:rPr>
        <w:t>Le Tableau des effectifs ;</w:t>
      </w:r>
    </w:p>
    <w:p w:rsidR="000835E1" w:rsidRPr="000835E1" w:rsidRDefault="000835E1" w:rsidP="000835E1">
      <w:pPr>
        <w:pStyle w:val="Paragraphedeliste"/>
        <w:numPr>
          <w:ilvl w:val="0"/>
          <w:numId w:val="4"/>
        </w:numPr>
        <w:spacing w:after="0" w:line="240" w:lineRule="auto"/>
        <w:jc w:val="both"/>
        <w:rPr>
          <w:rFonts w:ascii="Times New Roman" w:hAnsi="Times New Roman"/>
          <w:sz w:val="20"/>
          <w:szCs w:val="20"/>
        </w:rPr>
      </w:pPr>
      <w:r w:rsidRPr="000835E1">
        <w:rPr>
          <w:rFonts w:ascii="Times New Roman" w:hAnsi="Times New Roman"/>
          <w:sz w:val="20"/>
          <w:szCs w:val="20"/>
        </w:rPr>
        <w:t xml:space="preserve">Les Délibérations concernant le temps de travail, le régime indemnitaire, </w:t>
      </w:r>
    </w:p>
    <w:p w:rsidR="000835E1" w:rsidRPr="000835E1" w:rsidRDefault="000835E1" w:rsidP="000835E1">
      <w:pPr>
        <w:pStyle w:val="Paragraphedeliste"/>
        <w:spacing w:after="0" w:line="240" w:lineRule="auto"/>
        <w:jc w:val="both"/>
        <w:rPr>
          <w:rFonts w:ascii="Times New Roman" w:hAnsi="Times New Roman"/>
          <w:sz w:val="20"/>
          <w:szCs w:val="20"/>
        </w:rPr>
      </w:pPr>
    </w:p>
    <w:p w:rsidR="000835E1" w:rsidRPr="000835E1" w:rsidRDefault="000835E1" w:rsidP="000835E1">
      <w:pPr>
        <w:spacing w:after="0" w:line="240" w:lineRule="auto"/>
        <w:jc w:val="both"/>
        <w:rPr>
          <w:rFonts w:ascii="Times New Roman" w:hAnsi="Times New Roman" w:cs="Times New Roman"/>
          <w:b/>
          <w:bCs/>
          <w:sz w:val="20"/>
          <w:szCs w:val="20"/>
        </w:rPr>
      </w:pPr>
      <w:r w:rsidRPr="000835E1">
        <w:rPr>
          <w:rFonts w:ascii="Times New Roman" w:hAnsi="Times New Roman" w:cs="Times New Roman"/>
          <w:b/>
          <w:bCs/>
          <w:sz w:val="20"/>
          <w:szCs w:val="20"/>
        </w:rPr>
        <w:t>II/ La durée de validité des lignes directrices de gestion</w:t>
      </w:r>
    </w:p>
    <w:p w:rsidR="000835E1" w:rsidRPr="000835E1" w:rsidRDefault="000835E1" w:rsidP="000835E1">
      <w:pPr>
        <w:pStyle w:val="Textebrut"/>
        <w:jc w:val="both"/>
        <w:rPr>
          <w:rFonts w:ascii="Times New Roman" w:eastAsia="Calibri" w:hAnsi="Times New Roman" w:cs="Times New Roman"/>
          <w:sz w:val="20"/>
          <w:szCs w:val="20"/>
        </w:rPr>
      </w:pPr>
      <w:r w:rsidRPr="000835E1">
        <w:rPr>
          <w:rFonts w:ascii="Times New Roman" w:eastAsia="Calibri" w:hAnsi="Times New Roman" w:cs="Times New Roman"/>
          <w:sz w:val="20"/>
          <w:szCs w:val="20"/>
        </w:rPr>
        <w:t xml:space="preserve">Les présentes lignes directrices de gestion sont établies pour une durée de 4 ans à compter du après l’avis du CST </w:t>
      </w:r>
      <w:r w:rsidR="007C6F72">
        <w:rPr>
          <w:rFonts w:ascii="Times New Roman" w:eastAsia="Calibri" w:hAnsi="Times New Roman" w:cs="Times New Roman"/>
          <w:sz w:val="20"/>
          <w:szCs w:val="20"/>
        </w:rPr>
        <w:t xml:space="preserve">de </w:t>
      </w:r>
      <w:r w:rsidRPr="000835E1">
        <w:rPr>
          <w:rFonts w:ascii="Times New Roman" w:eastAsia="Calibri" w:hAnsi="Times New Roman" w:cs="Times New Roman"/>
          <w:sz w:val="20"/>
          <w:szCs w:val="20"/>
        </w:rPr>
        <w:t>2024.</w:t>
      </w:r>
    </w:p>
    <w:p w:rsidR="000835E1" w:rsidRPr="000835E1" w:rsidRDefault="000835E1" w:rsidP="000835E1">
      <w:pPr>
        <w:pStyle w:val="Textebrut"/>
        <w:jc w:val="both"/>
        <w:rPr>
          <w:rFonts w:ascii="Times New Roman" w:eastAsia="Calibri" w:hAnsi="Times New Roman" w:cs="Times New Roman"/>
          <w:sz w:val="20"/>
          <w:szCs w:val="20"/>
        </w:rPr>
      </w:pPr>
      <w:r w:rsidRPr="000835E1">
        <w:rPr>
          <w:rFonts w:ascii="Times New Roman" w:eastAsia="Calibri" w:hAnsi="Times New Roman" w:cs="Times New Roman"/>
          <w:sz w:val="20"/>
          <w:szCs w:val="20"/>
        </w:rPr>
        <w:t>Elles pourront faire l'objet, en tout ou partie, d'une révision en cours de période selon la même procédure que celle prévue pour leur élaboration (cf. décret n° 2019-1265 du 29 novembre 2019 relatif aux lignes directrices de gestion et à l'évolution des attributions des commissions administratives paritaires).</w:t>
      </w:r>
    </w:p>
    <w:p w:rsidR="000835E1" w:rsidRPr="000835E1" w:rsidRDefault="000835E1" w:rsidP="000835E1">
      <w:pPr>
        <w:pStyle w:val="Paragraphedeliste"/>
        <w:spacing w:after="0" w:line="240" w:lineRule="auto"/>
        <w:ind w:left="0"/>
        <w:jc w:val="both"/>
        <w:rPr>
          <w:rFonts w:ascii="Times New Roman" w:hAnsi="Times New Roman"/>
          <w:sz w:val="20"/>
          <w:szCs w:val="20"/>
        </w:rPr>
      </w:pPr>
    </w:p>
    <w:p w:rsidR="000835E1" w:rsidRPr="000835E1" w:rsidRDefault="000835E1" w:rsidP="000835E1">
      <w:pPr>
        <w:spacing w:after="0" w:line="240" w:lineRule="auto"/>
        <w:jc w:val="both"/>
        <w:rPr>
          <w:rFonts w:ascii="Times New Roman" w:hAnsi="Times New Roman" w:cs="Times New Roman"/>
          <w:b/>
          <w:sz w:val="20"/>
          <w:szCs w:val="20"/>
        </w:rPr>
      </w:pPr>
      <w:r w:rsidRPr="000835E1">
        <w:rPr>
          <w:rFonts w:ascii="Times New Roman" w:hAnsi="Times New Roman" w:cs="Times New Roman"/>
          <w:b/>
          <w:sz w:val="20"/>
          <w:szCs w:val="20"/>
        </w:rPr>
        <w:t xml:space="preserve">III/ Les actions </w:t>
      </w:r>
    </w:p>
    <w:p w:rsidR="000835E1" w:rsidRPr="000835E1" w:rsidRDefault="000835E1" w:rsidP="000835E1">
      <w:pPr>
        <w:spacing w:after="0" w:line="240" w:lineRule="auto"/>
        <w:jc w:val="both"/>
        <w:rPr>
          <w:rFonts w:ascii="Times New Roman" w:hAnsi="Times New Roman" w:cs="Times New Roman"/>
          <w:b/>
          <w:bCs/>
          <w:sz w:val="20"/>
          <w:szCs w:val="20"/>
          <w:u w:val="single"/>
        </w:rPr>
      </w:pPr>
      <w:r w:rsidRPr="000835E1">
        <w:rPr>
          <w:rFonts w:ascii="Times New Roman" w:hAnsi="Times New Roman" w:cs="Times New Roman"/>
          <w:b/>
          <w:bCs/>
          <w:sz w:val="20"/>
          <w:szCs w:val="20"/>
          <w:u w:val="single"/>
        </w:rPr>
        <w:t>1°) Avancement de grade et promotion interne</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 xml:space="preserve">Outre les critères règlementaires institués par les statuts particuliers de chaque cadre d’emplois, la collectivité doit déterminer ses propres critères lui permettant de proposer une évolution de carrières à ses agents. </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pStyle w:val="Paragraphedeliste"/>
        <w:spacing w:after="0" w:line="240" w:lineRule="auto"/>
        <w:jc w:val="both"/>
        <w:rPr>
          <w:rFonts w:ascii="Times New Roman" w:hAnsi="Times New Roman"/>
          <w:sz w:val="20"/>
          <w:szCs w:val="20"/>
        </w:rPr>
      </w:pPr>
      <w:r w:rsidRPr="000835E1">
        <w:rPr>
          <w:rFonts w:ascii="Times New Roman" w:hAnsi="Times New Roman"/>
          <w:sz w:val="20"/>
          <w:szCs w:val="20"/>
        </w:rPr>
        <w:t xml:space="preserve">Critères </w:t>
      </w:r>
      <w:r w:rsidRPr="000835E1">
        <w:rPr>
          <w:rFonts w:ascii="Times New Roman" w:hAnsi="Times New Roman"/>
          <w:b/>
          <w:bCs/>
          <w:sz w:val="20"/>
          <w:szCs w:val="20"/>
        </w:rPr>
        <w:t>d’avancements de grade</w:t>
      </w:r>
      <w:r w:rsidRPr="000835E1">
        <w:rPr>
          <w:rFonts w:ascii="Times New Roman" w:hAnsi="Times New Roman"/>
          <w:sz w:val="20"/>
          <w:szCs w:val="20"/>
        </w:rPr>
        <w:t xml:space="preserve"> </w:t>
      </w:r>
    </w:p>
    <w:p w:rsidR="000835E1" w:rsidRPr="000835E1" w:rsidRDefault="000835E1" w:rsidP="000835E1">
      <w:pPr>
        <w:pStyle w:val="Paragraphedeliste"/>
        <w:numPr>
          <w:ilvl w:val="0"/>
          <w:numId w:val="2"/>
        </w:numPr>
        <w:spacing w:after="0" w:line="240" w:lineRule="auto"/>
        <w:jc w:val="both"/>
        <w:rPr>
          <w:rFonts w:ascii="Times New Roman" w:hAnsi="Times New Roman"/>
          <w:sz w:val="20"/>
          <w:szCs w:val="20"/>
        </w:rPr>
      </w:pPr>
      <w:r w:rsidRPr="000835E1">
        <w:rPr>
          <w:rFonts w:ascii="Times New Roman" w:hAnsi="Times New Roman"/>
          <w:sz w:val="20"/>
          <w:szCs w:val="20"/>
        </w:rPr>
        <w:t>Ancienneté</w:t>
      </w:r>
    </w:p>
    <w:p w:rsidR="000835E1" w:rsidRPr="000835E1" w:rsidRDefault="000835E1" w:rsidP="000835E1">
      <w:pPr>
        <w:pStyle w:val="Paragraphedeliste"/>
        <w:numPr>
          <w:ilvl w:val="0"/>
          <w:numId w:val="2"/>
        </w:numPr>
        <w:spacing w:after="0" w:line="240" w:lineRule="auto"/>
        <w:jc w:val="both"/>
        <w:rPr>
          <w:rFonts w:ascii="Times New Roman" w:hAnsi="Times New Roman"/>
          <w:sz w:val="20"/>
          <w:szCs w:val="20"/>
        </w:rPr>
      </w:pPr>
      <w:r w:rsidRPr="000835E1">
        <w:rPr>
          <w:rFonts w:ascii="Times New Roman" w:hAnsi="Times New Roman"/>
          <w:sz w:val="20"/>
          <w:szCs w:val="20"/>
        </w:rPr>
        <w:t>Nombre d’années entre deux avancements ou promotion</w:t>
      </w:r>
    </w:p>
    <w:p w:rsidR="000835E1" w:rsidRPr="000835E1" w:rsidRDefault="000835E1" w:rsidP="000835E1">
      <w:pPr>
        <w:pStyle w:val="Paragraphedeliste"/>
        <w:numPr>
          <w:ilvl w:val="0"/>
          <w:numId w:val="2"/>
        </w:numPr>
        <w:spacing w:after="0" w:line="240" w:lineRule="auto"/>
        <w:jc w:val="both"/>
        <w:rPr>
          <w:rFonts w:ascii="Times New Roman" w:hAnsi="Times New Roman"/>
          <w:sz w:val="20"/>
          <w:szCs w:val="20"/>
        </w:rPr>
      </w:pPr>
      <w:r w:rsidRPr="000835E1">
        <w:rPr>
          <w:rFonts w:ascii="Times New Roman" w:hAnsi="Times New Roman"/>
          <w:sz w:val="20"/>
          <w:szCs w:val="20"/>
        </w:rPr>
        <w:t>Obtention de l’examen professionnel</w:t>
      </w:r>
    </w:p>
    <w:p w:rsidR="000835E1" w:rsidRPr="000835E1" w:rsidRDefault="000835E1" w:rsidP="000835E1">
      <w:pPr>
        <w:pStyle w:val="Paragraphedeliste"/>
        <w:numPr>
          <w:ilvl w:val="0"/>
          <w:numId w:val="2"/>
        </w:numPr>
        <w:spacing w:after="0" w:line="240" w:lineRule="auto"/>
        <w:jc w:val="both"/>
        <w:rPr>
          <w:rFonts w:ascii="Times New Roman" w:hAnsi="Times New Roman"/>
          <w:sz w:val="20"/>
          <w:szCs w:val="20"/>
        </w:rPr>
      </w:pPr>
      <w:r w:rsidRPr="000835E1">
        <w:rPr>
          <w:rFonts w:ascii="Times New Roman" w:hAnsi="Times New Roman"/>
          <w:sz w:val="20"/>
          <w:szCs w:val="20"/>
        </w:rPr>
        <w:lastRenderedPageBreak/>
        <w:t>Besoin de la collectivité (adéquation grade/fonctions exercées)</w:t>
      </w:r>
    </w:p>
    <w:p w:rsidR="000835E1" w:rsidRPr="000835E1" w:rsidRDefault="000835E1" w:rsidP="000835E1">
      <w:pPr>
        <w:pStyle w:val="Paragraphedeliste"/>
        <w:numPr>
          <w:ilvl w:val="0"/>
          <w:numId w:val="2"/>
        </w:numPr>
        <w:spacing w:after="0" w:line="240" w:lineRule="auto"/>
        <w:jc w:val="both"/>
        <w:rPr>
          <w:rFonts w:ascii="Times New Roman" w:hAnsi="Times New Roman"/>
          <w:sz w:val="20"/>
          <w:szCs w:val="20"/>
        </w:rPr>
      </w:pPr>
      <w:r w:rsidRPr="000835E1">
        <w:rPr>
          <w:rFonts w:ascii="Times New Roman" w:hAnsi="Times New Roman"/>
          <w:sz w:val="20"/>
          <w:szCs w:val="20"/>
        </w:rPr>
        <w:t>Effort de formation</w:t>
      </w:r>
    </w:p>
    <w:p w:rsidR="000835E1" w:rsidRPr="000835E1" w:rsidRDefault="000835E1" w:rsidP="000835E1">
      <w:pPr>
        <w:pStyle w:val="Paragraphedeliste"/>
        <w:numPr>
          <w:ilvl w:val="0"/>
          <w:numId w:val="2"/>
        </w:numPr>
        <w:spacing w:after="0" w:line="240" w:lineRule="auto"/>
        <w:jc w:val="both"/>
        <w:rPr>
          <w:rFonts w:ascii="Times New Roman" w:hAnsi="Times New Roman"/>
          <w:sz w:val="20"/>
          <w:szCs w:val="20"/>
        </w:rPr>
      </w:pPr>
      <w:r w:rsidRPr="000835E1">
        <w:rPr>
          <w:rFonts w:ascii="Times New Roman" w:hAnsi="Times New Roman"/>
          <w:sz w:val="20"/>
          <w:szCs w:val="20"/>
        </w:rPr>
        <w:t>Investissement de l’agent (entretien annuel)</w:t>
      </w:r>
    </w:p>
    <w:p w:rsidR="000835E1" w:rsidRPr="000835E1" w:rsidRDefault="000835E1" w:rsidP="000835E1">
      <w:pPr>
        <w:pStyle w:val="Paragraphedeliste"/>
        <w:numPr>
          <w:ilvl w:val="0"/>
          <w:numId w:val="2"/>
        </w:numPr>
        <w:spacing w:after="0" w:line="240" w:lineRule="auto"/>
        <w:jc w:val="both"/>
        <w:rPr>
          <w:rFonts w:ascii="Times New Roman" w:hAnsi="Times New Roman"/>
          <w:sz w:val="20"/>
          <w:szCs w:val="20"/>
        </w:rPr>
      </w:pPr>
      <w:r w:rsidRPr="000835E1">
        <w:rPr>
          <w:rFonts w:ascii="Times New Roman" w:hAnsi="Times New Roman"/>
          <w:sz w:val="20"/>
          <w:szCs w:val="20"/>
        </w:rPr>
        <w:t>Capacités financières de la collectivité</w:t>
      </w:r>
    </w:p>
    <w:p w:rsidR="000835E1" w:rsidRPr="000835E1" w:rsidRDefault="000835E1" w:rsidP="000835E1">
      <w:pPr>
        <w:pStyle w:val="Paragraphedeliste"/>
        <w:spacing w:after="0" w:line="240" w:lineRule="auto"/>
        <w:ind w:left="0"/>
        <w:jc w:val="both"/>
        <w:rPr>
          <w:rFonts w:ascii="Times New Roman" w:hAnsi="Times New Roman"/>
          <w:sz w:val="20"/>
          <w:szCs w:val="20"/>
        </w:rPr>
      </w:pPr>
    </w:p>
    <w:p w:rsidR="000835E1" w:rsidRPr="000835E1" w:rsidRDefault="000835E1" w:rsidP="000835E1">
      <w:pPr>
        <w:spacing w:after="0"/>
        <w:rPr>
          <w:rStyle w:val="lev"/>
          <w:rFonts w:ascii="Times New Roman" w:hAnsi="Times New Roman" w:cs="Times New Roman"/>
          <w:color w:val="2F5496"/>
          <w:sz w:val="20"/>
          <w:szCs w:val="20"/>
          <w:u w:val="single"/>
        </w:rPr>
      </w:pPr>
      <w:r w:rsidRPr="000835E1">
        <w:rPr>
          <w:rStyle w:val="lev"/>
          <w:rFonts w:ascii="Times New Roman" w:hAnsi="Times New Roman" w:cs="Times New Roman"/>
          <w:color w:val="2F5496"/>
          <w:sz w:val="20"/>
          <w:szCs w:val="20"/>
          <w:u w:val="single"/>
        </w:rPr>
        <w:t>En matière d’avancement et de promotion</w:t>
      </w:r>
    </w:p>
    <w:p w:rsidR="000835E1" w:rsidRPr="000835E1" w:rsidRDefault="000835E1" w:rsidP="000835E1">
      <w:pPr>
        <w:spacing w:after="0" w:line="240" w:lineRule="auto"/>
        <w:rPr>
          <w:rFonts w:ascii="Times New Roman" w:hAnsi="Times New Roman" w:cs="Times New Roman"/>
          <w:i/>
          <w:sz w:val="20"/>
          <w:szCs w:val="20"/>
          <w:lang w:bidi="he-IL"/>
        </w:rPr>
      </w:pPr>
    </w:p>
    <w:p w:rsidR="000835E1" w:rsidRPr="000835E1" w:rsidRDefault="000835E1" w:rsidP="000835E1">
      <w:pPr>
        <w:jc w:val="both"/>
        <w:rPr>
          <w:rFonts w:ascii="Times New Roman" w:hAnsi="Times New Roman" w:cs="Times New Roman"/>
          <w:i/>
          <w:sz w:val="20"/>
          <w:szCs w:val="20"/>
        </w:rPr>
      </w:pPr>
      <w:r w:rsidRPr="000835E1">
        <w:rPr>
          <w:rFonts w:ascii="Times New Roman" w:hAnsi="Times New Roman" w:cs="Times New Roman"/>
          <w:i/>
          <w:sz w:val="20"/>
          <w:szCs w:val="20"/>
        </w:rPr>
        <w:t>La carrière des agents fonctionnaires comporte un caractère évolutif comprenant des avancements d'échelon, de grade et des promotions internes.</w:t>
      </w:r>
    </w:p>
    <w:p w:rsidR="000835E1" w:rsidRPr="000835E1" w:rsidRDefault="000835E1" w:rsidP="000835E1">
      <w:pPr>
        <w:jc w:val="both"/>
        <w:rPr>
          <w:rFonts w:ascii="Times New Roman" w:hAnsi="Times New Roman" w:cs="Times New Roman"/>
          <w:i/>
          <w:sz w:val="20"/>
          <w:szCs w:val="20"/>
        </w:rPr>
      </w:pPr>
      <w:r w:rsidRPr="000835E1">
        <w:rPr>
          <w:rFonts w:ascii="Times New Roman" w:hAnsi="Times New Roman" w:cs="Times New Roman"/>
          <w:i/>
          <w:sz w:val="20"/>
          <w:szCs w:val="20"/>
        </w:rPr>
        <w:t xml:space="preserve">Les avancements d’échelon s’effectuent selon un cadencement unique sans qu’aucun avis hiérarchique ne soit nécessaire. </w:t>
      </w:r>
    </w:p>
    <w:p w:rsidR="000835E1" w:rsidRPr="000835E1" w:rsidRDefault="000835E1" w:rsidP="000835E1">
      <w:pPr>
        <w:jc w:val="both"/>
        <w:rPr>
          <w:rFonts w:ascii="Times New Roman" w:hAnsi="Times New Roman" w:cs="Times New Roman"/>
          <w:i/>
          <w:sz w:val="20"/>
          <w:szCs w:val="20"/>
        </w:rPr>
      </w:pPr>
      <w:r w:rsidRPr="000835E1">
        <w:rPr>
          <w:rFonts w:ascii="Times New Roman" w:hAnsi="Times New Roman" w:cs="Times New Roman"/>
          <w:i/>
          <w:sz w:val="20"/>
          <w:szCs w:val="20"/>
        </w:rPr>
        <w:t xml:space="preserve">Les avancements de grade et les promotions internes sont proposés par l’autorité territoriale sur proposition de l’encadrement hiérarchique, selon des critères définis par chaque collectivité ou établissement public. </w:t>
      </w:r>
    </w:p>
    <w:p w:rsidR="000835E1" w:rsidRPr="000835E1" w:rsidRDefault="000835E1" w:rsidP="000835E1">
      <w:pPr>
        <w:jc w:val="both"/>
        <w:rPr>
          <w:rFonts w:ascii="Times New Roman" w:hAnsi="Times New Roman" w:cs="Times New Roman"/>
          <w:i/>
          <w:sz w:val="20"/>
          <w:szCs w:val="20"/>
        </w:rPr>
      </w:pPr>
      <w:r w:rsidRPr="000835E1">
        <w:rPr>
          <w:rFonts w:ascii="Times New Roman" w:hAnsi="Times New Roman" w:cs="Times New Roman"/>
          <w:i/>
          <w:sz w:val="20"/>
          <w:szCs w:val="20"/>
        </w:rPr>
        <w:t xml:space="preserve">Une communication peut être réalisée comme suit : </w:t>
      </w:r>
    </w:p>
    <w:p w:rsidR="000835E1" w:rsidRPr="000835E1" w:rsidRDefault="000835E1" w:rsidP="000835E1">
      <w:pPr>
        <w:pStyle w:val="Paragraphedeliste"/>
        <w:numPr>
          <w:ilvl w:val="0"/>
          <w:numId w:val="2"/>
        </w:numPr>
        <w:jc w:val="both"/>
        <w:rPr>
          <w:rFonts w:ascii="Times New Roman" w:hAnsi="Times New Roman"/>
          <w:i/>
          <w:sz w:val="20"/>
          <w:szCs w:val="20"/>
        </w:rPr>
      </w:pPr>
      <w:r w:rsidRPr="000835E1">
        <w:rPr>
          <w:rFonts w:ascii="Times New Roman" w:hAnsi="Times New Roman"/>
          <w:i/>
          <w:sz w:val="20"/>
          <w:szCs w:val="20"/>
        </w:rPr>
        <w:t>Proposition d’avancement de grade du responsable hiérarchique ;</w:t>
      </w:r>
    </w:p>
    <w:p w:rsidR="000835E1" w:rsidRPr="000835E1" w:rsidRDefault="000835E1" w:rsidP="000835E1">
      <w:pPr>
        <w:pStyle w:val="Paragraphedeliste"/>
        <w:numPr>
          <w:ilvl w:val="0"/>
          <w:numId w:val="2"/>
        </w:numPr>
        <w:jc w:val="both"/>
        <w:rPr>
          <w:rFonts w:ascii="Times New Roman" w:hAnsi="Times New Roman"/>
          <w:i/>
          <w:sz w:val="20"/>
          <w:szCs w:val="20"/>
        </w:rPr>
      </w:pPr>
      <w:r w:rsidRPr="000835E1">
        <w:rPr>
          <w:rFonts w:ascii="Times New Roman" w:hAnsi="Times New Roman"/>
          <w:i/>
          <w:sz w:val="20"/>
          <w:szCs w:val="20"/>
        </w:rPr>
        <w:t>Information de l’agent de cette proposition par le biais d’une fiche d’avis ;</w:t>
      </w:r>
    </w:p>
    <w:p w:rsidR="000835E1" w:rsidRPr="000835E1" w:rsidRDefault="000835E1" w:rsidP="000835E1">
      <w:pPr>
        <w:pStyle w:val="Paragraphedeliste"/>
        <w:numPr>
          <w:ilvl w:val="0"/>
          <w:numId w:val="2"/>
        </w:numPr>
        <w:jc w:val="both"/>
        <w:rPr>
          <w:rFonts w:ascii="Times New Roman" w:hAnsi="Times New Roman"/>
          <w:i/>
          <w:sz w:val="20"/>
          <w:szCs w:val="20"/>
        </w:rPr>
      </w:pPr>
      <w:r w:rsidRPr="000835E1">
        <w:rPr>
          <w:rFonts w:ascii="Times New Roman" w:hAnsi="Times New Roman"/>
          <w:i/>
          <w:sz w:val="20"/>
          <w:szCs w:val="20"/>
        </w:rPr>
        <w:t>Examen des tableaux d’avancement par la RH/DG au regard des critères mis en place au sein de la structure ;</w:t>
      </w:r>
    </w:p>
    <w:p w:rsidR="000835E1" w:rsidRPr="000835E1" w:rsidRDefault="000835E1" w:rsidP="000835E1">
      <w:pPr>
        <w:pStyle w:val="Paragraphedeliste"/>
        <w:numPr>
          <w:ilvl w:val="0"/>
          <w:numId w:val="2"/>
        </w:numPr>
        <w:jc w:val="both"/>
        <w:rPr>
          <w:rFonts w:ascii="Times New Roman" w:hAnsi="Times New Roman"/>
          <w:i/>
          <w:sz w:val="20"/>
          <w:szCs w:val="20"/>
        </w:rPr>
      </w:pPr>
      <w:r w:rsidRPr="000835E1">
        <w:rPr>
          <w:rFonts w:ascii="Times New Roman" w:hAnsi="Times New Roman"/>
          <w:i/>
          <w:sz w:val="20"/>
          <w:szCs w:val="20"/>
        </w:rPr>
        <w:t>Décision de l’autorité territoriale ;</w:t>
      </w:r>
    </w:p>
    <w:p w:rsidR="000835E1" w:rsidRPr="000835E1" w:rsidRDefault="000835E1" w:rsidP="000835E1">
      <w:pPr>
        <w:pStyle w:val="Paragraphedeliste"/>
        <w:numPr>
          <w:ilvl w:val="0"/>
          <w:numId w:val="2"/>
        </w:numPr>
        <w:spacing w:after="0"/>
        <w:jc w:val="both"/>
        <w:rPr>
          <w:rFonts w:ascii="Times New Roman" w:hAnsi="Times New Roman"/>
          <w:i/>
          <w:sz w:val="20"/>
          <w:szCs w:val="20"/>
        </w:rPr>
      </w:pPr>
      <w:r w:rsidRPr="000835E1">
        <w:rPr>
          <w:rFonts w:ascii="Times New Roman" w:hAnsi="Times New Roman"/>
          <w:i/>
          <w:sz w:val="20"/>
          <w:szCs w:val="20"/>
        </w:rPr>
        <w:t xml:space="preserve">Information des responsables et de l’agent de la décision finale. </w:t>
      </w:r>
    </w:p>
    <w:p w:rsidR="000835E1" w:rsidRPr="000835E1" w:rsidRDefault="000835E1" w:rsidP="000835E1">
      <w:pPr>
        <w:spacing w:after="0"/>
        <w:jc w:val="both"/>
        <w:rPr>
          <w:rFonts w:ascii="Times New Roman" w:hAnsi="Times New Roman" w:cs="Times New Roman"/>
          <w:b/>
          <w:i/>
          <w:color w:val="A5A5A5"/>
          <w:sz w:val="20"/>
          <w:szCs w:val="20"/>
        </w:rPr>
      </w:pPr>
      <w:bookmarkStart w:id="1" w:name="_Toc382552918"/>
    </w:p>
    <w:p w:rsidR="000835E1" w:rsidRPr="000835E1" w:rsidRDefault="000835E1" w:rsidP="000835E1">
      <w:pPr>
        <w:shd w:val="clear" w:color="auto" w:fill="B4C6E7"/>
        <w:spacing w:after="0"/>
        <w:jc w:val="both"/>
        <w:rPr>
          <w:rFonts w:ascii="Times New Roman" w:hAnsi="Times New Roman" w:cs="Times New Roman"/>
          <w:b/>
          <w:i/>
          <w:color w:val="FFFFFF"/>
          <w:sz w:val="20"/>
          <w:szCs w:val="20"/>
        </w:rPr>
      </w:pPr>
      <w:r w:rsidRPr="000835E1">
        <w:rPr>
          <w:rFonts w:ascii="Times New Roman" w:hAnsi="Times New Roman" w:cs="Times New Roman"/>
          <w:b/>
          <w:i/>
          <w:color w:val="FFFFFF"/>
          <w:sz w:val="20"/>
          <w:szCs w:val="20"/>
        </w:rPr>
        <w:t>Avancement de grade</w:t>
      </w:r>
      <w:bookmarkEnd w:id="1"/>
      <w:r w:rsidRPr="000835E1">
        <w:rPr>
          <w:rFonts w:ascii="Times New Roman" w:hAnsi="Times New Roman" w:cs="Times New Roman"/>
          <w:b/>
          <w:i/>
          <w:color w:val="FFFFFF"/>
          <w:sz w:val="20"/>
          <w:szCs w:val="20"/>
        </w:rPr>
        <w:t xml:space="preserve"> </w:t>
      </w:r>
    </w:p>
    <w:p w:rsidR="000835E1" w:rsidRPr="000835E1" w:rsidRDefault="000835E1" w:rsidP="000835E1">
      <w:pPr>
        <w:spacing w:after="0"/>
        <w:jc w:val="both"/>
        <w:rPr>
          <w:rFonts w:ascii="Times New Roman" w:hAnsi="Times New Roman" w:cs="Times New Roman"/>
          <w:i/>
          <w:sz w:val="20"/>
          <w:szCs w:val="20"/>
        </w:rPr>
      </w:pPr>
    </w:p>
    <w:p w:rsidR="000835E1" w:rsidRPr="000835E1" w:rsidRDefault="000835E1" w:rsidP="000835E1">
      <w:pPr>
        <w:spacing w:after="0"/>
        <w:jc w:val="both"/>
        <w:rPr>
          <w:rFonts w:ascii="Times New Roman" w:hAnsi="Times New Roman" w:cs="Times New Roman"/>
          <w:i/>
          <w:sz w:val="20"/>
          <w:szCs w:val="20"/>
        </w:rPr>
      </w:pPr>
      <w:r w:rsidRPr="000835E1">
        <w:rPr>
          <w:rFonts w:ascii="Times New Roman" w:hAnsi="Times New Roman" w:cs="Times New Roman"/>
          <w:i/>
          <w:sz w:val="20"/>
          <w:szCs w:val="20"/>
        </w:rPr>
        <w:t>L’avancement de grade correspond à un changement de grade à l’intérieur du cadre d’emplois auquel appartient le fonctionnaire, permettant d’accéder à un niveau de fonctions et d’emplois plus élevé. Peuvent avancer de grade les fonctionnaires en position d’activité ou de détachement.</w:t>
      </w:r>
    </w:p>
    <w:p w:rsidR="000835E1" w:rsidRPr="000835E1" w:rsidRDefault="000835E1" w:rsidP="000835E1">
      <w:pPr>
        <w:spacing w:after="0"/>
        <w:jc w:val="both"/>
        <w:rPr>
          <w:rFonts w:ascii="Times New Roman" w:hAnsi="Times New Roman" w:cs="Times New Roman"/>
          <w:i/>
          <w:sz w:val="20"/>
          <w:szCs w:val="20"/>
        </w:rPr>
      </w:pPr>
    </w:p>
    <w:p w:rsidR="000835E1" w:rsidRPr="000835E1" w:rsidRDefault="000835E1" w:rsidP="000835E1">
      <w:pPr>
        <w:spacing w:after="0"/>
        <w:jc w:val="both"/>
        <w:rPr>
          <w:rFonts w:ascii="Times New Roman" w:hAnsi="Times New Roman" w:cs="Times New Roman"/>
          <w:i/>
          <w:sz w:val="20"/>
          <w:szCs w:val="20"/>
        </w:rPr>
      </w:pPr>
      <w:r w:rsidRPr="000835E1">
        <w:rPr>
          <w:rFonts w:ascii="Times New Roman" w:hAnsi="Times New Roman" w:cs="Times New Roman"/>
          <w:i/>
          <w:sz w:val="20"/>
          <w:szCs w:val="20"/>
        </w:rPr>
        <w:t xml:space="preserve">L’avancement de grade ne constitue pas un droit et peut être accordé aux fonctionnaires dont la valeur professionnelle le justifie. </w:t>
      </w:r>
    </w:p>
    <w:p w:rsidR="000835E1" w:rsidRPr="000835E1" w:rsidRDefault="000835E1" w:rsidP="000835E1">
      <w:pPr>
        <w:spacing w:after="0"/>
        <w:jc w:val="both"/>
        <w:rPr>
          <w:rFonts w:ascii="Times New Roman" w:hAnsi="Times New Roman" w:cs="Times New Roman"/>
          <w:i/>
          <w:sz w:val="20"/>
          <w:szCs w:val="20"/>
        </w:rPr>
      </w:pPr>
    </w:p>
    <w:p w:rsidR="000835E1" w:rsidRPr="000835E1" w:rsidRDefault="000835E1" w:rsidP="000835E1">
      <w:pPr>
        <w:numPr>
          <w:ilvl w:val="0"/>
          <w:numId w:val="1"/>
        </w:numPr>
        <w:spacing w:after="0"/>
        <w:jc w:val="both"/>
        <w:rPr>
          <w:rFonts w:ascii="Times New Roman" w:hAnsi="Times New Roman" w:cs="Times New Roman"/>
          <w:i/>
          <w:sz w:val="20"/>
          <w:szCs w:val="20"/>
        </w:rPr>
      </w:pPr>
      <w:r w:rsidRPr="000835E1">
        <w:rPr>
          <w:rFonts w:ascii="Times New Roman" w:hAnsi="Times New Roman" w:cs="Times New Roman"/>
          <w:i/>
          <w:sz w:val="20"/>
          <w:szCs w:val="20"/>
        </w:rPr>
        <w:t xml:space="preserve">Depuis </w:t>
      </w:r>
      <w:hyperlink r:id="rId5" w:history="1">
        <w:r w:rsidRPr="000835E1">
          <w:rPr>
            <w:rStyle w:val="Lienhypertexte"/>
            <w:rFonts w:ascii="Times New Roman" w:hAnsi="Times New Roman" w:cs="Times New Roman"/>
            <w:i/>
            <w:sz w:val="20"/>
            <w:szCs w:val="20"/>
          </w:rPr>
          <w:t>l’article 49 de la loi n° 84-53 du 26 janvier 1984</w:t>
        </w:r>
      </w:hyperlink>
      <w:r w:rsidRPr="000835E1">
        <w:rPr>
          <w:rFonts w:ascii="Times New Roman" w:hAnsi="Times New Roman" w:cs="Times New Roman"/>
          <w:i/>
          <w:sz w:val="20"/>
          <w:szCs w:val="20"/>
        </w:rPr>
        <w:t xml:space="preserve">, l’assemblée délibérante après avis du CT, doit fixer le taux de promotion à appliquer aux grades d’avancement. </w:t>
      </w:r>
    </w:p>
    <w:p w:rsidR="000835E1" w:rsidRPr="000835E1" w:rsidRDefault="000835E1" w:rsidP="000835E1">
      <w:pPr>
        <w:spacing w:after="0"/>
        <w:jc w:val="both"/>
        <w:rPr>
          <w:rFonts w:ascii="Times New Roman" w:hAnsi="Times New Roman" w:cs="Times New Roman"/>
          <w:i/>
          <w:sz w:val="20"/>
          <w:szCs w:val="20"/>
        </w:rPr>
      </w:pPr>
    </w:p>
    <w:p w:rsidR="000835E1" w:rsidRPr="000835E1" w:rsidRDefault="000835E1" w:rsidP="000835E1">
      <w:pPr>
        <w:spacing w:after="0"/>
        <w:jc w:val="both"/>
        <w:rPr>
          <w:rFonts w:ascii="Times New Roman" w:hAnsi="Times New Roman" w:cs="Times New Roman"/>
          <w:b/>
          <w:i/>
          <w:sz w:val="20"/>
          <w:szCs w:val="20"/>
        </w:rPr>
      </w:pPr>
      <w:r w:rsidRPr="000835E1">
        <w:rPr>
          <w:rFonts w:ascii="Times New Roman" w:hAnsi="Times New Roman" w:cs="Times New Roman"/>
          <w:i/>
          <w:sz w:val="20"/>
          <w:szCs w:val="20"/>
        </w:rPr>
        <w:t>L’assemblée délibérante étudiera à la demande d’avancement de grade</w:t>
      </w:r>
      <w:r w:rsidRPr="000835E1">
        <w:rPr>
          <w:rFonts w:ascii="Times New Roman" w:hAnsi="Times New Roman" w:cs="Times New Roman"/>
          <w:b/>
          <w:i/>
          <w:sz w:val="20"/>
          <w:szCs w:val="20"/>
        </w:rPr>
        <w:t xml:space="preserve"> selon la manière de servir, la capacité d’adaptation et l’anticipation des tâches et l’engagement professionnel de l’agent</w:t>
      </w:r>
    </w:p>
    <w:p w:rsidR="000835E1" w:rsidRPr="000835E1" w:rsidRDefault="000835E1" w:rsidP="000835E1">
      <w:pPr>
        <w:spacing w:after="0"/>
        <w:jc w:val="both"/>
        <w:rPr>
          <w:rFonts w:ascii="Times New Roman" w:hAnsi="Times New Roman" w:cs="Times New Roman"/>
          <w:b/>
          <w:i/>
          <w:sz w:val="20"/>
          <w:szCs w:val="20"/>
        </w:rPr>
      </w:pPr>
    </w:p>
    <w:p w:rsidR="000835E1" w:rsidRPr="000835E1" w:rsidRDefault="000835E1" w:rsidP="000835E1">
      <w:pPr>
        <w:pStyle w:val="Style5"/>
        <w:rPr>
          <w:rFonts w:ascii="Times New Roman" w:hAnsi="Times New Roman" w:cs="Times New Roman"/>
        </w:rPr>
      </w:pPr>
      <w:bookmarkStart w:id="2" w:name="_Toc382552919"/>
      <w:r w:rsidRPr="000835E1">
        <w:rPr>
          <w:rFonts w:ascii="Times New Roman" w:hAnsi="Times New Roman" w:cs="Times New Roman"/>
        </w:rPr>
        <w:t xml:space="preserve">Avancement de grade en </w:t>
      </w:r>
      <w:r w:rsidRPr="000835E1">
        <w:rPr>
          <w:rFonts w:ascii="Times New Roman" w:hAnsi="Times New Roman" w:cs="Times New Roman"/>
          <w:u w:val="single"/>
        </w:rPr>
        <w:t>Catégorie C</w:t>
      </w:r>
      <w:bookmarkEnd w:id="2"/>
    </w:p>
    <w:p w:rsidR="000835E1" w:rsidRPr="000835E1" w:rsidRDefault="000835E1" w:rsidP="000835E1">
      <w:pPr>
        <w:spacing w:after="0"/>
        <w:rPr>
          <w:rFonts w:ascii="Times New Roman" w:hAnsi="Times New Roman" w:cs="Times New Roman"/>
          <w:sz w:val="20"/>
          <w:szCs w:val="20"/>
          <w:lang w:eastAsia="fr-FR"/>
        </w:rPr>
      </w:pPr>
    </w:p>
    <w:p w:rsidR="000835E1" w:rsidRPr="000835E1" w:rsidRDefault="000835E1" w:rsidP="000835E1">
      <w:pPr>
        <w:spacing w:after="0" w:line="276" w:lineRule="auto"/>
        <w:jc w:val="center"/>
        <w:rPr>
          <w:rFonts w:ascii="Times New Roman" w:hAnsi="Times New Roman" w:cs="Times New Roman"/>
          <w:b/>
          <w:bCs/>
          <w:iCs/>
          <w:sz w:val="20"/>
          <w:szCs w:val="20"/>
        </w:rPr>
      </w:pPr>
      <w:r w:rsidRPr="000835E1">
        <w:rPr>
          <w:rFonts w:ascii="Times New Roman" w:hAnsi="Times New Roman" w:cs="Times New Roman"/>
          <w:b/>
          <w:bCs/>
          <w:iCs/>
          <w:sz w:val="20"/>
          <w:szCs w:val="20"/>
        </w:rPr>
        <w:t>AVANCEMENT DE GRADE :</w:t>
      </w:r>
    </w:p>
    <w:p w:rsidR="000835E1" w:rsidRPr="000835E1" w:rsidRDefault="000835E1" w:rsidP="000835E1">
      <w:pPr>
        <w:spacing w:after="0"/>
        <w:jc w:val="both"/>
        <w:rPr>
          <w:rFonts w:ascii="Times New Roman" w:hAnsi="Times New Roman" w:cs="Times New Roman"/>
          <w:b/>
          <w:bCs/>
          <w:iCs/>
          <w:sz w:val="20"/>
          <w:szCs w:val="20"/>
        </w:rPr>
      </w:pPr>
    </w:p>
    <w:p w:rsidR="000835E1" w:rsidRPr="000835E1" w:rsidRDefault="000835E1" w:rsidP="000835E1">
      <w:pPr>
        <w:spacing w:after="0" w:line="276" w:lineRule="auto"/>
        <w:jc w:val="both"/>
        <w:rPr>
          <w:rFonts w:ascii="Times New Roman" w:hAnsi="Times New Roman" w:cs="Times New Roman"/>
          <w:iCs/>
          <w:sz w:val="20"/>
          <w:szCs w:val="20"/>
        </w:rPr>
      </w:pPr>
      <w:proofErr w:type="gramStart"/>
      <w:r w:rsidRPr="000835E1">
        <w:rPr>
          <w:rFonts w:ascii="Times New Roman" w:hAnsi="Times New Roman" w:cs="Times New Roman"/>
          <w:iCs/>
          <w:sz w:val="20"/>
          <w:szCs w:val="20"/>
        </w:rPr>
        <w:t>󠅈  la</w:t>
      </w:r>
      <w:proofErr w:type="gramEnd"/>
      <w:r w:rsidRPr="000835E1">
        <w:rPr>
          <w:rFonts w:ascii="Times New Roman" w:hAnsi="Times New Roman" w:cs="Times New Roman"/>
          <w:iCs/>
          <w:sz w:val="20"/>
          <w:szCs w:val="20"/>
        </w:rPr>
        <w:t xml:space="preserve"> commune d’Avril-sur-Loire définit </w:t>
      </w:r>
      <w:r w:rsidRPr="000835E1">
        <w:rPr>
          <w:rFonts w:ascii="Times New Roman" w:hAnsi="Times New Roman" w:cs="Times New Roman"/>
          <w:b/>
          <w:bCs/>
          <w:iCs/>
          <w:sz w:val="20"/>
          <w:szCs w:val="20"/>
        </w:rPr>
        <w:t>les critères applicables</w:t>
      </w:r>
      <w:r w:rsidRPr="000835E1">
        <w:rPr>
          <w:rFonts w:ascii="Times New Roman" w:hAnsi="Times New Roman" w:cs="Times New Roman"/>
          <w:iCs/>
          <w:sz w:val="20"/>
          <w:szCs w:val="20"/>
        </w:rPr>
        <w:t> :</w:t>
      </w:r>
    </w:p>
    <w:p w:rsidR="000835E1" w:rsidRPr="000835E1" w:rsidRDefault="000835E1" w:rsidP="000835E1">
      <w:pPr>
        <w:spacing w:after="0" w:line="276" w:lineRule="auto"/>
        <w:jc w:val="both"/>
        <w:rPr>
          <w:rFonts w:ascii="Times New Roman" w:hAnsi="Times New Roman" w:cs="Times New Roman"/>
          <w:iCs/>
          <w:sz w:val="20"/>
          <w:szCs w:val="20"/>
        </w:rPr>
      </w:pPr>
    </w:p>
    <w:p w:rsidR="000835E1" w:rsidRPr="000835E1" w:rsidRDefault="000835E1" w:rsidP="000835E1">
      <w:pPr>
        <w:spacing w:after="0" w:line="276" w:lineRule="auto"/>
        <w:jc w:val="both"/>
        <w:rPr>
          <w:rFonts w:ascii="Times New Roman" w:hAnsi="Times New Roman" w:cs="Times New Roman"/>
          <w:iCs/>
          <w:sz w:val="20"/>
          <w:szCs w:val="20"/>
        </w:rPr>
      </w:pPr>
      <w:r w:rsidRPr="000835E1">
        <w:rPr>
          <w:rFonts w:ascii="Times New Roman" w:hAnsi="Times New Roman" w:cs="Times New Roman"/>
          <w:iCs/>
          <w:sz w:val="20"/>
          <w:szCs w:val="20"/>
        </w:rPr>
        <w:tab/>
        <w:t>󠅈 A l’ensemble des agents</w:t>
      </w:r>
    </w:p>
    <w:p w:rsidR="000835E1" w:rsidRPr="000835E1" w:rsidRDefault="000835E1" w:rsidP="000835E1">
      <w:pPr>
        <w:spacing w:after="0" w:line="276" w:lineRule="auto"/>
        <w:jc w:val="both"/>
        <w:rPr>
          <w:rFonts w:ascii="Times New Roman" w:hAnsi="Times New Roman" w:cs="Times New Roman"/>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835E1" w:rsidRPr="000835E1" w:rsidTr="004C315F">
        <w:tc>
          <w:tcPr>
            <w:tcW w:w="9062" w:type="dxa"/>
            <w:shd w:val="clear" w:color="auto" w:fill="auto"/>
          </w:tcPr>
          <w:p w:rsidR="000835E1" w:rsidRPr="000835E1" w:rsidRDefault="000835E1" w:rsidP="004C315F">
            <w:pPr>
              <w:spacing w:after="0" w:line="276" w:lineRule="auto"/>
              <w:jc w:val="both"/>
              <w:rPr>
                <w:rFonts w:ascii="Times New Roman" w:hAnsi="Times New Roman" w:cs="Times New Roman"/>
                <w:iCs/>
                <w:sz w:val="20"/>
                <w:szCs w:val="20"/>
              </w:rPr>
            </w:pPr>
            <w:r w:rsidRPr="000835E1">
              <w:rPr>
                <w:rFonts w:ascii="Times New Roman" w:hAnsi="Times New Roman" w:cs="Times New Roman"/>
                <w:iCs/>
                <w:sz w:val="20"/>
                <w:szCs w:val="20"/>
              </w:rPr>
              <w:t>Tout agent qui aura satisfait aux épreuves du concours ou de l’examen professionnel</w:t>
            </w:r>
          </w:p>
        </w:tc>
      </w:tr>
      <w:tr w:rsidR="000835E1" w:rsidRPr="000835E1" w:rsidTr="004C315F">
        <w:tc>
          <w:tcPr>
            <w:tcW w:w="9062" w:type="dxa"/>
            <w:shd w:val="clear" w:color="auto" w:fill="auto"/>
          </w:tcPr>
          <w:p w:rsidR="000835E1" w:rsidRPr="000835E1" w:rsidRDefault="000835E1" w:rsidP="004C315F">
            <w:pPr>
              <w:spacing w:after="0" w:line="276" w:lineRule="auto"/>
              <w:jc w:val="both"/>
              <w:rPr>
                <w:rFonts w:ascii="Times New Roman" w:hAnsi="Times New Roman" w:cs="Times New Roman"/>
                <w:iCs/>
                <w:sz w:val="20"/>
                <w:szCs w:val="20"/>
              </w:rPr>
            </w:pPr>
            <w:r w:rsidRPr="000835E1">
              <w:rPr>
                <w:rFonts w:ascii="Times New Roman" w:hAnsi="Times New Roman" w:cs="Times New Roman"/>
                <w:iCs/>
                <w:sz w:val="20"/>
                <w:szCs w:val="20"/>
              </w:rPr>
              <w:t>Tout agent remplissant les conditions statutaires</w:t>
            </w:r>
          </w:p>
        </w:tc>
      </w:tr>
      <w:tr w:rsidR="000835E1" w:rsidRPr="000835E1" w:rsidTr="004C315F">
        <w:tc>
          <w:tcPr>
            <w:tcW w:w="9062" w:type="dxa"/>
            <w:shd w:val="clear" w:color="auto" w:fill="auto"/>
          </w:tcPr>
          <w:p w:rsidR="000835E1" w:rsidRPr="000835E1" w:rsidRDefault="000835E1" w:rsidP="004C315F">
            <w:pPr>
              <w:spacing w:after="0" w:line="276" w:lineRule="auto"/>
              <w:jc w:val="both"/>
              <w:rPr>
                <w:rFonts w:ascii="Times New Roman" w:hAnsi="Times New Roman" w:cs="Times New Roman"/>
                <w:iCs/>
                <w:sz w:val="20"/>
                <w:szCs w:val="20"/>
              </w:rPr>
            </w:pPr>
            <w:r w:rsidRPr="000835E1">
              <w:rPr>
                <w:rFonts w:ascii="Times New Roman" w:hAnsi="Times New Roman" w:cs="Times New Roman"/>
                <w:iCs/>
                <w:sz w:val="20"/>
                <w:szCs w:val="20"/>
              </w:rPr>
              <w:t xml:space="preserve"> Appréciation de l’engagement professionnel ( entretien individuel)</w:t>
            </w:r>
          </w:p>
        </w:tc>
      </w:tr>
      <w:tr w:rsidR="000835E1" w:rsidRPr="000835E1" w:rsidTr="004C315F">
        <w:tc>
          <w:tcPr>
            <w:tcW w:w="9062" w:type="dxa"/>
            <w:shd w:val="clear" w:color="auto" w:fill="auto"/>
          </w:tcPr>
          <w:p w:rsidR="007538BF" w:rsidRPr="000835E1" w:rsidRDefault="000835E1" w:rsidP="004C315F">
            <w:pPr>
              <w:spacing w:after="0" w:line="276" w:lineRule="auto"/>
              <w:jc w:val="both"/>
              <w:rPr>
                <w:rFonts w:ascii="Times New Roman" w:hAnsi="Times New Roman" w:cs="Times New Roman"/>
                <w:iCs/>
                <w:sz w:val="20"/>
                <w:szCs w:val="20"/>
              </w:rPr>
            </w:pPr>
            <w:r w:rsidRPr="000835E1">
              <w:rPr>
                <w:rFonts w:ascii="Times New Roman" w:hAnsi="Times New Roman" w:cs="Times New Roman"/>
                <w:iCs/>
                <w:sz w:val="20"/>
                <w:szCs w:val="20"/>
              </w:rPr>
              <w:t xml:space="preserve">Suivi de la formation professionnelle </w:t>
            </w:r>
          </w:p>
        </w:tc>
      </w:tr>
    </w:tbl>
    <w:p w:rsidR="000835E1" w:rsidRPr="000835E1" w:rsidRDefault="000835E1" w:rsidP="000835E1">
      <w:pPr>
        <w:shd w:val="clear" w:color="auto" w:fill="B4C6E7"/>
        <w:spacing w:after="0"/>
        <w:jc w:val="both"/>
        <w:rPr>
          <w:rFonts w:ascii="Times New Roman" w:hAnsi="Times New Roman" w:cs="Times New Roman"/>
          <w:b/>
          <w:i/>
          <w:color w:val="FFFFFF"/>
          <w:sz w:val="20"/>
          <w:szCs w:val="20"/>
        </w:rPr>
      </w:pPr>
      <w:r w:rsidRPr="000835E1">
        <w:rPr>
          <w:rFonts w:ascii="Times New Roman" w:hAnsi="Times New Roman" w:cs="Times New Roman"/>
          <w:b/>
          <w:i/>
          <w:color w:val="FFFFFF"/>
          <w:sz w:val="20"/>
          <w:szCs w:val="20"/>
        </w:rPr>
        <w:t>Promotion interne</w:t>
      </w:r>
    </w:p>
    <w:p w:rsidR="000835E1" w:rsidRPr="000835E1" w:rsidRDefault="000835E1" w:rsidP="000835E1">
      <w:pPr>
        <w:spacing w:after="0"/>
        <w:jc w:val="both"/>
        <w:rPr>
          <w:rFonts w:ascii="Times New Roman" w:hAnsi="Times New Roman" w:cs="Times New Roman"/>
          <w:b/>
          <w:i/>
          <w:color w:val="A5A5A5"/>
          <w:sz w:val="20"/>
          <w:szCs w:val="20"/>
        </w:rPr>
      </w:pPr>
    </w:p>
    <w:p w:rsidR="000835E1" w:rsidRPr="000835E1" w:rsidRDefault="000835E1" w:rsidP="000835E1">
      <w:pPr>
        <w:spacing w:after="0"/>
        <w:jc w:val="both"/>
        <w:rPr>
          <w:rFonts w:ascii="Times New Roman" w:hAnsi="Times New Roman" w:cs="Times New Roman"/>
          <w:i/>
          <w:sz w:val="20"/>
          <w:szCs w:val="20"/>
        </w:rPr>
      </w:pPr>
      <w:r w:rsidRPr="000835E1">
        <w:rPr>
          <w:rFonts w:ascii="Times New Roman" w:hAnsi="Times New Roman" w:cs="Times New Roman"/>
          <w:i/>
          <w:sz w:val="20"/>
          <w:szCs w:val="20"/>
        </w:rPr>
        <w:t>Les critères applicables :</w:t>
      </w:r>
    </w:p>
    <w:p w:rsidR="000835E1" w:rsidRPr="000835E1" w:rsidRDefault="000835E1" w:rsidP="000835E1">
      <w:pPr>
        <w:spacing w:after="0"/>
        <w:jc w:val="both"/>
        <w:rPr>
          <w:rFonts w:ascii="Times New Roman" w:hAnsi="Times New Roman" w:cs="Times New Roman"/>
          <w:i/>
          <w:sz w:val="20"/>
          <w:szCs w:val="20"/>
        </w:rPr>
      </w:pPr>
    </w:p>
    <w:p w:rsidR="000835E1" w:rsidRPr="000835E1" w:rsidRDefault="000835E1" w:rsidP="000835E1">
      <w:pPr>
        <w:numPr>
          <w:ilvl w:val="1"/>
          <w:numId w:val="5"/>
        </w:numPr>
        <w:spacing w:after="0" w:line="276" w:lineRule="auto"/>
        <w:jc w:val="both"/>
        <w:rPr>
          <w:rFonts w:ascii="Times New Roman" w:hAnsi="Times New Roman" w:cs="Times New Roman"/>
          <w:i/>
          <w:sz w:val="20"/>
          <w:szCs w:val="20"/>
        </w:rPr>
      </w:pPr>
      <w:r w:rsidRPr="000835E1">
        <w:rPr>
          <w:rFonts w:ascii="Times New Roman" w:hAnsi="Times New Roman" w:cs="Times New Roman"/>
          <w:i/>
          <w:sz w:val="20"/>
          <w:szCs w:val="20"/>
        </w:rPr>
        <w:t>L’avis hiérarchique ;</w:t>
      </w:r>
    </w:p>
    <w:p w:rsidR="000835E1" w:rsidRPr="000835E1" w:rsidRDefault="000835E1" w:rsidP="000835E1">
      <w:pPr>
        <w:numPr>
          <w:ilvl w:val="1"/>
          <w:numId w:val="5"/>
        </w:numPr>
        <w:spacing w:after="0" w:line="276" w:lineRule="auto"/>
        <w:jc w:val="both"/>
        <w:rPr>
          <w:rFonts w:ascii="Times New Roman" w:hAnsi="Times New Roman" w:cs="Times New Roman"/>
          <w:i/>
          <w:sz w:val="20"/>
          <w:szCs w:val="20"/>
        </w:rPr>
      </w:pPr>
      <w:r w:rsidRPr="000835E1">
        <w:rPr>
          <w:rFonts w:ascii="Times New Roman" w:hAnsi="Times New Roman" w:cs="Times New Roman"/>
          <w:i/>
          <w:sz w:val="20"/>
          <w:szCs w:val="20"/>
        </w:rPr>
        <w:lastRenderedPageBreak/>
        <w:t>Les fonctions occupées par l’agent ;</w:t>
      </w:r>
    </w:p>
    <w:p w:rsidR="000835E1" w:rsidRPr="000835E1" w:rsidRDefault="000835E1" w:rsidP="000835E1">
      <w:pPr>
        <w:numPr>
          <w:ilvl w:val="1"/>
          <w:numId w:val="5"/>
        </w:numPr>
        <w:spacing w:after="0" w:line="276" w:lineRule="auto"/>
        <w:jc w:val="both"/>
        <w:rPr>
          <w:rFonts w:ascii="Times New Roman" w:hAnsi="Times New Roman" w:cs="Times New Roman"/>
          <w:i/>
          <w:sz w:val="20"/>
          <w:szCs w:val="20"/>
        </w:rPr>
      </w:pPr>
      <w:r w:rsidRPr="000835E1">
        <w:rPr>
          <w:rFonts w:ascii="Times New Roman" w:hAnsi="Times New Roman" w:cs="Times New Roman"/>
          <w:i/>
          <w:sz w:val="20"/>
          <w:szCs w:val="20"/>
        </w:rPr>
        <w:t>L’aptitude de l’agent à exercer des fonctions d’un niveau supérieur.</w:t>
      </w:r>
    </w:p>
    <w:p w:rsidR="000835E1" w:rsidRPr="000835E1" w:rsidRDefault="000835E1" w:rsidP="000835E1">
      <w:pPr>
        <w:spacing w:after="0" w:line="276" w:lineRule="auto"/>
        <w:ind w:left="1788"/>
        <w:jc w:val="both"/>
        <w:rPr>
          <w:rFonts w:ascii="Times New Roman" w:hAnsi="Times New Roman" w:cs="Times New Roman"/>
          <w:i/>
          <w:sz w:val="20"/>
          <w:szCs w:val="20"/>
        </w:rPr>
      </w:pPr>
    </w:p>
    <w:p w:rsidR="000835E1" w:rsidRPr="000835E1" w:rsidRDefault="000835E1" w:rsidP="000835E1">
      <w:pPr>
        <w:spacing w:after="0" w:line="240" w:lineRule="auto"/>
        <w:jc w:val="both"/>
        <w:rPr>
          <w:rFonts w:ascii="Times New Roman" w:hAnsi="Times New Roman" w:cs="Times New Roman"/>
          <w:b/>
          <w:bCs/>
          <w:sz w:val="20"/>
          <w:szCs w:val="20"/>
          <w:u w:val="single"/>
        </w:rPr>
      </w:pPr>
      <w:r w:rsidRPr="000835E1">
        <w:rPr>
          <w:rFonts w:ascii="Times New Roman" w:hAnsi="Times New Roman" w:cs="Times New Roman"/>
          <w:b/>
          <w:bCs/>
          <w:sz w:val="20"/>
          <w:szCs w:val="20"/>
          <w:u w:val="single"/>
        </w:rPr>
        <w:t>2°) Tableau des effectifs et des emplois</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Disposez-vous d’un tableau des effectifs complet et à jour ?    OUI</w:t>
      </w:r>
      <w:r w:rsidRPr="000835E1">
        <w:rPr>
          <w:rFonts w:ascii="Times New Roman" w:hAnsi="Times New Roman" w:cs="Times New Roman"/>
          <w:sz w:val="20"/>
          <w:szCs w:val="20"/>
        </w:rPr>
        <w:tab/>
      </w:r>
      <w:r w:rsidRPr="000835E1">
        <w:rPr>
          <w:rFonts w:ascii="Times New Roman" w:hAnsi="Times New Roman" w:cs="Times New Roman"/>
          <w:sz w:val="20"/>
          <w:szCs w:val="20"/>
        </w:rPr>
        <w:sym w:font="Wingdings" w:char="F06F"/>
      </w:r>
      <w:r w:rsidRPr="000835E1">
        <w:rPr>
          <w:rFonts w:ascii="Times New Roman" w:hAnsi="Times New Roman" w:cs="Times New Roman"/>
          <w:sz w:val="20"/>
          <w:szCs w:val="20"/>
        </w:rPr>
        <w:tab/>
      </w:r>
    </w:p>
    <w:p w:rsidR="000835E1" w:rsidRPr="000835E1" w:rsidRDefault="000835E1" w:rsidP="000835E1">
      <w:pPr>
        <w:pStyle w:val="Paragraphedeliste"/>
        <w:numPr>
          <w:ilvl w:val="0"/>
          <w:numId w:val="7"/>
        </w:numPr>
        <w:spacing w:after="0" w:line="240" w:lineRule="auto"/>
        <w:ind w:left="284" w:hanging="284"/>
        <w:jc w:val="both"/>
        <w:rPr>
          <w:rFonts w:ascii="Times New Roman" w:hAnsi="Times New Roman"/>
          <w:sz w:val="20"/>
          <w:szCs w:val="20"/>
        </w:rPr>
      </w:pPr>
      <w:r w:rsidRPr="000835E1">
        <w:rPr>
          <w:rFonts w:ascii="Times New Roman" w:hAnsi="Times New Roman"/>
          <w:sz w:val="20"/>
          <w:szCs w:val="20"/>
        </w:rPr>
        <w:t>Actions / Démarches / Projets :</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pStyle w:val="Paragraphedeliste"/>
        <w:numPr>
          <w:ilvl w:val="0"/>
          <w:numId w:val="6"/>
        </w:numPr>
        <w:spacing w:after="0" w:line="240" w:lineRule="auto"/>
        <w:jc w:val="both"/>
        <w:rPr>
          <w:rFonts w:ascii="Times New Roman" w:hAnsi="Times New Roman"/>
          <w:sz w:val="20"/>
          <w:szCs w:val="20"/>
        </w:rPr>
      </w:pPr>
      <w:r w:rsidRPr="000835E1">
        <w:rPr>
          <w:rFonts w:ascii="Times New Roman" w:hAnsi="Times New Roman"/>
          <w:sz w:val="20"/>
          <w:szCs w:val="20"/>
        </w:rPr>
        <w:t>Créer, compléter ou mettre à</w:t>
      </w:r>
      <w:r w:rsidR="007538BF">
        <w:rPr>
          <w:rFonts w:ascii="Times New Roman" w:hAnsi="Times New Roman"/>
          <w:sz w:val="20"/>
          <w:szCs w:val="20"/>
        </w:rPr>
        <w:t xml:space="preserve"> jour le tableau des effectifs </w:t>
      </w:r>
    </w:p>
    <w:p w:rsidR="000835E1" w:rsidRPr="000835E1" w:rsidRDefault="000835E1" w:rsidP="000835E1">
      <w:pPr>
        <w:spacing w:after="0" w:line="240" w:lineRule="auto"/>
        <w:jc w:val="both"/>
        <w:rPr>
          <w:rFonts w:ascii="Times New Roman" w:hAnsi="Times New Roman" w:cs="Times New Roman"/>
          <w:b/>
          <w:bCs/>
          <w:sz w:val="20"/>
          <w:szCs w:val="20"/>
          <w:u w:val="single"/>
        </w:rPr>
      </w:pPr>
    </w:p>
    <w:p w:rsidR="000835E1" w:rsidRPr="000835E1" w:rsidRDefault="000835E1" w:rsidP="000835E1">
      <w:pPr>
        <w:spacing w:after="0" w:line="240" w:lineRule="auto"/>
        <w:jc w:val="both"/>
        <w:rPr>
          <w:rFonts w:ascii="Times New Roman" w:hAnsi="Times New Roman" w:cs="Times New Roman"/>
          <w:b/>
          <w:bCs/>
          <w:sz w:val="20"/>
          <w:szCs w:val="20"/>
          <w:u w:val="single"/>
        </w:rPr>
      </w:pPr>
    </w:p>
    <w:p w:rsidR="000835E1" w:rsidRPr="000835E1" w:rsidRDefault="000835E1" w:rsidP="000835E1">
      <w:pPr>
        <w:spacing w:after="0" w:line="240" w:lineRule="auto"/>
        <w:jc w:val="both"/>
        <w:rPr>
          <w:rFonts w:ascii="Times New Roman" w:hAnsi="Times New Roman" w:cs="Times New Roman"/>
          <w:b/>
          <w:bCs/>
          <w:sz w:val="20"/>
          <w:szCs w:val="20"/>
          <w:u w:val="single"/>
        </w:rPr>
      </w:pPr>
      <w:r w:rsidRPr="000835E1">
        <w:rPr>
          <w:rFonts w:ascii="Times New Roman" w:hAnsi="Times New Roman" w:cs="Times New Roman"/>
          <w:b/>
          <w:bCs/>
          <w:sz w:val="20"/>
          <w:szCs w:val="20"/>
          <w:u w:val="single"/>
        </w:rPr>
        <w:t>3°) Gestion Prévisionnelle des Emplois et des Compétences (GPEC)</w:t>
      </w:r>
    </w:p>
    <w:p w:rsidR="000835E1" w:rsidRPr="000835E1" w:rsidRDefault="000835E1" w:rsidP="000835E1">
      <w:pPr>
        <w:spacing w:after="0" w:line="240" w:lineRule="auto"/>
        <w:jc w:val="both"/>
        <w:rPr>
          <w:rFonts w:ascii="Times New Roman" w:hAnsi="Times New Roman" w:cs="Times New Roman"/>
          <w:b/>
          <w:bCs/>
          <w:sz w:val="20"/>
          <w:szCs w:val="20"/>
          <w:u w:val="single"/>
        </w:rPr>
      </w:pPr>
    </w:p>
    <w:p w:rsidR="000835E1" w:rsidRDefault="000835E1" w:rsidP="000835E1">
      <w:pPr>
        <w:spacing w:after="0" w:line="240" w:lineRule="auto"/>
        <w:jc w:val="both"/>
        <w:rPr>
          <w:rFonts w:ascii="Times New Roman" w:hAnsi="Times New Roman" w:cs="Times New Roman"/>
          <w:b/>
          <w:bCs/>
          <w:sz w:val="20"/>
          <w:szCs w:val="20"/>
          <w:u w:val="single"/>
        </w:rPr>
      </w:pPr>
      <w:r w:rsidRPr="000835E1">
        <w:rPr>
          <w:rFonts w:ascii="Times New Roman" w:hAnsi="Times New Roman" w:cs="Times New Roman"/>
          <w:b/>
          <w:bCs/>
          <w:sz w:val="20"/>
          <w:szCs w:val="20"/>
          <w:u w:val="single"/>
        </w:rPr>
        <w:t>Tableau au 1</w:t>
      </w:r>
      <w:r w:rsidRPr="000835E1">
        <w:rPr>
          <w:rFonts w:ascii="Times New Roman" w:hAnsi="Times New Roman" w:cs="Times New Roman"/>
          <w:b/>
          <w:bCs/>
          <w:sz w:val="20"/>
          <w:szCs w:val="20"/>
          <w:u w:val="single"/>
          <w:vertAlign w:val="superscript"/>
        </w:rPr>
        <w:t>er</w:t>
      </w:r>
      <w:r w:rsidRPr="000835E1">
        <w:rPr>
          <w:rFonts w:ascii="Times New Roman" w:hAnsi="Times New Roman" w:cs="Times New Roman"/>
          <w:b/>
          <w:bCs/>
          <w:sz w:val="20"/>
          <w:szCs w:val="20"/>
          <w:u w:val="single"/>
        </w:rPr>
        <w:t xml:space="preserve"> janvier 2024</w:t>
      </w:r>
    </w:p>
    <w:tbl>
      <w:tblPr>
        <w:tblStyle w:val="Grilledutableau"/>
        <w:tblW w:w="0" w:type="auto"/>
        <w:tblLook w:val="04A0" w:firstRow="1" w:lastRow="0" w:firstColumn="1" w:lastColumn="0" w:noHBand="0" w:noVBand="1"/>
      </w:tblPr>
      <w:tblGrid>
        <w:gridCol w:w="1286"/>
        <w:gridCol w:w="1839"/>
        <w:gridCol w:w="889"/>
        <w:gridCol w:w="1282"/>
        <w:gridCol w:w="1286"/>
        <w:gridCol w:w="1287"/>
      </w:tblGrid>
      <w:tr w:rsidR="00FC61F0" w:rsidRPr="000835E1" w:rsidTr="001B7702">
        <w:trPr>
          <w:trHeight w:val="649"/>
        </w:trPr>
        <w:tc>
          <w:tcPr>
            <w:tcW w:w="1286"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Catégorie C</w:t>
            </w:r>
          </w:p>
        </w:tc>
        <w:tc>
          <w:tcPr>
            <w:tcW w:w="183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fonction</w:t>
            </w:r>
          </w:p>
        </w:tc>
        <w:tc>
          <w:tcPr>
            <w:tcW w:w="75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Temps non complet</w:t>
            </w:r>
          </w:p>
        </w:tc>
        <w:tc>
          <w:tcPr>
            <w:tcW w:w="1282"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mutation</w:t>
            </w:r>
          </w:p>
        </w:tc>
        <w:tc>
          <w:tcPr>
            <w:tcW w:w="1286"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Départ prévisionnel à la retraite</w:t>
            </w:r>
          </w:p>
        </w:tc>
        <w:tc>
          <w:tcPr>
            <w:tcW w:w="1287"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Disponibilité ou autre congé</w:t>
            </w:r>
          </w:p>
        </w:tc>
      </w:tr>
      <w:tr w:rsidR="00FC61F0" w:rsidRPr="000835E1" w:rsidTr="001B7702">
        <w:trPr>
          <w:trHeight w:val="432"/>
        </w:trPr>
        <w:tc>
          <w:tcPr>
            <w:tcW w:w="1286"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Adjoint administratif</w:t>
            </w:r>
          </w:p>
        </w:tc>
        <w:tc>
          <w:tcPr>
            <w:tcW w:w="183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Secrétaire de mairie</w:t>
            </w:r>
          </w:p>
        </w:tc>
        <w:tc>
          <w:tcPr>
            <w:tcW w:w="75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28/35</w:t>
            </w:r>
            <w:r w:rsidRPr="000835E1">
              <w:rPr>
                <w:rFonts w:ascii="Times New Roman" w:hAnsi="Times New Roman" w:cs="Times New Roman"/>
                <w:bCs/>
                <w:sz w:val="20"/>
                <w:szCs w:val="20"/>
                <w:vertAlign w:val="superscript"/>
              </w:rPr>
              <w:t>ème</w:t>
            </w:r>
            <w:r w:rsidRPr="000835E1">
              <w:rPr>
                <w:rFonts w:ascii="Times New Roman" w:hAnsi="Times New Roman" w:cs="Times New Roman"/>
                <w:bCs/>
                <w:sz w:val="20"/>
                <w:szCs w:val="20"/>
              </w:rPr>
              <w:t xml:space="preserve"> </w:t>
            </w:r>
          </w:p>
        </w:tc>
        <w:tc>
          <w:tcPr>
            <w:tcW w:w="1282" w:type="dxa"/>
          </w:tcPr>
          <w:p w:rsidR="00FC61F0" w:rsidRPr="000835E1" w:rsidRDefault="00FC61F0" w:rsidP="001B7702">
            <w:pPr>
              <w:jc w:val="both"/>
              <w:rPr>
                <w:rFonts w:ascii="Times New Roman" w:hAnsi="Times New Roman" w:cs="Times New Roman"/>
                <w:bCs/>
                <w:sz w:val="20"/>
                <w:szCs w:val="20"/>
              </w:rPr>
            </w:pPr>
          </w:p>
        </w:tc>
        <w:tc>
          <w:tcPr>
            <w:tcW w:w="1286"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1/10/2027</w:t>
            </w:r>
          </w:p>
        </w:tc>
        <w:tc>
          <w:tcPr>
            <w:tcW w:w="1287" w:type="dxa"/>
          </w:tcPr>
          <w:p w:rsidR="00FC61F0" w:rsidRPr="000835E1" w:rsidRDefault="00FC61F0" w:rsidP="001B7702">
            <w:pPr>
              <w:jc w:val="both"/>
              <w:rPr>
                <w:rFonts w:ascii="Times New Roman" w:hAnsi="Times New Roman" w:cs="Times New Roman"/>
                <w:bCs/>
                <w:sz w:val="20"/>
                <w:szCs w:val="20"/>
              </w:rPr>
            </w:pPr>
          </w:p>
        </w:tc>
      </w:tr>
      <w:tr w:rsidR="00FC61F0" w:rsidRPr="000835E1" w:rsidTr="001B7702">
        <w:trPr>
          <w:trHeight w:val="444"/>
        </w:trPr>
        <w:tc>
          <w:tcPr>
            <w:tcW w:w="1286"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Adjoint technique</w:t>
            </w:r>
          </w:p>
        </w:tc>
        <w:tc>
          <w:tcPr>
            <w:tcW w:w="183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Espace verts et voirie</w:t>
            </w:r>
          </w:p>
        </w:tc>
        <w:tc>
          <w:tcPr>
            <w:tcW w:w="75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28/35</w:t>
            </w:r>
            <w:r w:rsidRPr="000835E1">
              <w:rPr>
                <w:rFonts w:ascii="Times New Roman" w:hAnsi="Times New Roman" w:cs="Times New Roman"/>
                <w:bCs/>
                <w:sz w:val="20"/>
                <w:szCs w:val="20"/>
                <w:vertAlign w:val="superscript"/>
              </w:rPr>
              <w:t>ème</w:t>
            </w:r>
          </w:p>
          <w:p w:rsidR="00FC61F0" w:rsidRPr="000835E1" w:rsidRDefault="00FC61F0" w:rsidP="001B7702">
            <w:pPr>
              <w:jc w:val="both"/>
              <w:rPr>
                <w:rFonts w:ascii="Times New Roman" w:hAnsi="Times New Roman" w:cs="Times New Roman"/>
                <w:bCs/>
                <w:sz w:val="20"/>
                <w:szCs w:val="20"/>
              </w:rPr>
            </w:pPr>
          </w:p>
        </w:tc>
        <w:tc>
          <w:tcPr>
            <w:tcW w:w="1282" w:type="dxa"/>
          </w:tcPr>
          <w:p w:rsidR="00FC61F0" w:rsidRPr="000835E1" w:rsidRDefault="00FC61F0" w:rsidP="001B7702">
            <w:pPr>
              <w:jc w:val="both"/>
              <w:rPr>
                <w:rFonts w:ascii="Times New Roman" w:hAnsi="Times New Roman" w:cs="Times New Roman"/>
                <w:bCs/>
                <w:sz w:val="20"/>
                <w:szCs w:val="20"/>
              </w:rPr>
            </w:pPr>
          </w:p>
        </w:tc>
        <w:tc>
          <w:tcPr>
            <w:tcW w:w="1286" w:type="dxa"/>
          </w:tcPr>
          <w:p w:rsidR="00FC61F0" w:rsidRPr="000835E1" w:rsidRDefault="00FC61F0" w:rsidP="001B7702">
            <w:pPr>
              <w:jc w:val="both"/>
              <w:rPr>
                <w:rFonts w:ascii="Times New Roman" w:hAnsi="Times New Roman" w:cs="Times New Roman"/>
                <w:bCs/>
                <w:sz w:val="20"/>
                <w:szCs w:val="20"/>
              </w:rPr>
            </w:pPr>
          </w:p>
        </w:tc>
        <w:tc>
          <w:tcPr>
            <w:tcW w:w="1287" w:type="dxa"/>
          </w:tcPr>
          <w:p w:rsidR="00FC61F0" w:rsidRPr="000835E1" w:rsidRDefault="00FC61F0" w:rsidP="001B7702">
            <w:pPr>
              <w:jc w:val="both"/>
              <w:rPr>
                <w:rFonts w:ascii="Times New Roman" w:hAnsi="Times New Roman" w:cs="Times New Roman"/>
                <w:bCs/>
                <w:sz w:val="20"/>
                <w:szCs w:val="20"/>
              </w:rPr>
            </w:pPr>
          </w:p>
        </w:tc>
      </w:tr>
      <w:tr w:rsidR="00FC61F0" w:rsidRPr="000835E1" w:rsidTr="001B7702">
        <w:trPr>
          <w:trHeight w:val="432"/>
        </w:trPr>
        <w:tc>
          <w:tcPr>
            <w:tcW w:w="1286"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Adjoint technique</w:t>
            </w:r>
          </w:p>
        </w:tc>
        <w:tc>
          <w:tcPr>
            <w:tcW w:w="183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Entretien des locaux</w:t>
            </w:r>
          </w:p>
        </w:tc>
        <w:tc>
          <w:tcPr>
            <w:tcW w:w="759"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3/35</w:t>
            </w:r>
            <w:r w:rsidRPr="000835E1">
              <w:rPr>
                <w:rFonts w:ascii="Times New Roman" w:hAnsi="Times New Roman" w:cs="Times New Roman"/>
                <w:bCs/>
                <w:sz w:val="20"/>
                <w:szCs w:val="20"/>
                <w:vertAlign w:val="superscript"/>
              </w:rPr>
              <w:t>ème</w:t>
            </w:r>
          </w:p>
          <w:p w:rsidR="00FC61F0" w:rsidRPr="000835E1" w:rsidRDefault="00FC61F0" w:rsidP="001B7702">
            <w:pPr>
              <w:jc w:val="both"/>
              <w:rPr>
                <w:rFonts w:ascii="Times New Roman" w:hAnsi="Times New Roman" w:cs="Times New Roman"/>
                <w:bCs/>
                <w:sz w:val="20"/>
                <w:szCs w:val="20"/>
              </w:rPr>
            </w:pPr>
          </w:p>
        </w:tc>
        <w:tc>
          <w:tcPr>
            <w:tcW w:w="1282" w:type="dxa"/>
          </w:tcPr>
          <w:p w:rsidR="00FC61F0" w:rsidRPr="000835E1" w:rsidRDefault="00FC61F0" w:rsidP="001B7702">
            <w:pPr>
              <w:jc w:val="both"/>
              <w:rPr>
                <w:rFonts w:ascii="Times New Roman" w:hAnsi="Times New Roman" w:cs="Times New Roman"/>
                <w:bCs/>
                <w:sz w:val="20"/>
                <w:szCs w:val="20"/>
              </w:rPr>
            </w:pPr>
          </w:p>
        </w:tc>
        <w:tc>
          <w:tcPr>
            <w:tcW w:w="1286" w:type="dxa"/>
          </w:tcPr>
          <w:p w:rsidR="00FC61F0" w:rsidRPr="000835E1" w:rsidRDefault="00FC61F0" w:rsidP="001B7702">
            <w:pPr>
              <w:jc w:val="both"/>
              <w:rPr>
                <w:rFonts w:ascii="Times New Roman" w:hAnsi="Times New Roman" w:cs="Times New Roman"/>
                <w:bCs/>
                <w:sz w:val="20"/>
                <w:szCs w:val="20"/>
              </w:rPr>
            </w:pPr>
            <w:r w:rsidRPr="000835E1">
              <w:rPr>
                <w:rFonts w:ascii="Times New Roman" w:hAnsi="Times New Roman" w:cs="Times New Roman"/>
                <w:bCs/>
                <w:sz w:val="20"/>
                <w:szCs w:val="20"/>
              </w:rPr>
              <w:t xml:space="preserve">1/05/2025 </w:t>
            </w:r>
            <w:proofErr w:type="spellStart"/>
            <w:r w:rsidRPr="000835E1">
              <w:rPr>
                <w:rFonts w:ascii="Times New Roman" w:hAnsi="Times New Roman" w:cs="Times New Roman"/>
                <w:bCs/>
                <w:sz w:val="20"/>
                <w:szCs w:val="20"/>
              </w:rPr>
              <w:t>voir</w:t>
            </w:r>
            <w:proofErr w:type="spellEnd"/>
            <w:r w:rsidRPr="000835E1">
              <w:rPr>
                <w:rFonts w:ascii="Times New Roman" w:hAnsi="Times New Roman" w:cs="Times New Roman"/>
                <w:bCs/>
                <w:sz w:val="20"/>
                <w:szCs w:val="20"/>
              </w:rPr>
              <w:t xml:space="preserve"> 2026</w:t>
            </w:r>
          </w:p>
        </w:tc>
        <w:tc>
          <w:tcPr>
            <w:tcW w:w="1287" w:type="dxa"/>
          </w:tcPr>
          <w:p w:rsidR="00FC61F0" w:rsidRPr="000835E1" w:rsidRDefault="00FC61F0" w:rsidP="001B7702">
            <w:pPr>
              <w:jc w:val="both"/>
              <w:rPr>
                <w:rFonts w:ascii="Times New Roman" w:hAnsi="Times New Roman" w:cs="Times New Roman"/>
                <w:bCs/>
                <w:sz w:val="20"/>
                <w:szCs w:val="20"/>
              </w:rPr>
            </w:pPr>
          </w:p>
        </w:tc>
      </w:tr>
    </w:tbl>
    <w:p w:rsidR="00FC61F0" w:rsidRPr="000835E1" w:rsidRDefault="00FC61F0" w:rsidP="000835E1">
      <w:pPr>
        <w:spacing w:after="0" w:line="240" w:lineRule="auto"/>
        <w:jc w:val="both"/>
        <w:rPr>
          <w:rFonts w:ascii="Times New Roman" w:hAnsi="Times New Roman" w:cs="Times New Roman"/>
          <w:b/>
          <w:bCs/>
          <w:sz w:val="20"/>
          <w:szCs w:val="20"/>
          <w:u w:val="single"/>
        </w:rPr>
      </w:pPr>
    </w:p>
    <w:p w:rsidR="000835E1" w:rsidRPr="000835E1" w:rsidRDefault="000835E1" w:rsidP="000835E1">
      <w:pPr>
        <w:spacing w:after="0" w:line="240" w:lineRule="auto"/>
        <w:jc w:val="both"/>
        <w:rPr>
          <w:rFonts w:ascii="Times New Roman" w:hAnsi="Times New Roman" w:cs="Times New Roman"/>
          <w:b/>
          <w:bCs/>
          <w:sz w:val="20"/>
          <w:szCs w:val="20"/>
          <w:u w:val="single"/>
        </w:rPr>
      </w:pPr>
    </w:p>
    <w:p w:rsidR="000835E1" w:rsidRPr="000835E1" w:rsidRDefault="000835E1" w:rsidP="000835E1">
      <w:pPr>
        <w:spacing w:after="0" w:line="240" w:lineRule="auto"/>
        <w:jc w:val="both"/>
        <w:rPr>
          <w:rFonts w:ascii="Times New Roman" w:hAnsi="Times New Roman" w:cs="Times New Roman"/>
          <w:bCs/>
          <w:sz w:val="20"/>
          <w:szCs w:val="20"/>
        </w:rPr>
      </w:pPr>
    </w:p>
    <w:p w:rsidR="000835E1" w:rsidRPr="000835E1" w:rsidRDefault="000835E1" w:rsidP="000835E1">
      <w:pPr>
        <w:spacing w:after="0" w:line="240" w:lineRule="auto"/>
        <w:jc w:val="both"/>
        <w:rPr>
          <w:rFonts w:ascii="Times New Roman" w:hAnsi="Times New Roman" w:cs="Times New Roman"/>
          <w:bCs/>
          <w:sz w:val="20"/>
          <w:szCs w:val="20"/>
        </w:rPr>
      </w:pPr>
      <w:r w:rsidRPr="000835E1">
        <w:rPr>
          <w:rFonts w:ascii="Times New Roman" w:hAnsi="Times New Roman" w:cs="Times New Roman"/>
          <w:bCs/>
          <w:sz w:val="20"/>
          <w:szCs w:val="20"/>
        </w:rPr>
        <w:t>La collectivité emploie 2 femmes 1 homme</w:t>
      </w:r>
    </w:p>
    <w:p w:rsidR="000835E1" w:rsidRPr="000835E1" w:rsidRDefault="000835E1" w:rsidP="000835E1">
      <w:pPr>
        <w:spacing w:after="0" w:line="240" w:lineRule="auto"/>
        <w:jc w:val="both"/>
        <w:rPr>
          <w:rFonts w:ascii="Times New Roman" w:hAnsi="Times New Roman" w:cs="Times New Roman"/>
          <w:b/>
          <w:bCs/>
          <w:sz w:val="20"/>
          <w:szCs w:val="20"/>
          <w:u w:val="single"/>
        </w:rPr>
      </w:pPr>
    </w:p>
    <w:p w:rsidR="000835E1" w:rsidRPr="000835E1" w:rsidRDefault="000835E1" w:rsidP="000835E1">
      <w:pPr>
        <w:spacing w:after="0" w:line="240" w:lineRule="auto"/>
        <w:jc w:val="both"/>
        <w:rPr>
          <w:rFonts w:ascii="Times New Roman" w:hAnsi="Times New Roman" w:cs="Times New Roman"/>
          <w:b/>
          <w:bCs/>
          <w:sz w:val="20"/>
          <w:szCs w:val="20"/>
          <w:u w:val="single"/>
        </w:rPr>
      </w:pPr>
      <w:r w:rsidRPr="000835E1">
        <w:rPr>
          <w:rFonts w:ascii="Times New Roman" w:hAnsi="Times New Roman" w:cs="Times New Roman"/>
          <w:b/>
          <w:bCs/>
          <w:sz w:val="20"/>
          <w:szCs w:val="20"/>
          <w:u w:val="single"/>
        </w:rPr>
        <w:t>4°) Régime indemnitaire</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La commune dispose d’un régime indemnitaire : le RIFSEEP </w:t>
      </w:r>
    </w:p>
    <w:p w:rsidR="000835E1" w:rsidRPr="000835E1" w:rsidRDefault="000835E1" w:rsidP="000835E1">
      <w:p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 xml:space="preserve">Le Maire établit le montant du IFSE et du CIA </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b/>
          <w:bCs/>
          <w:sz w:val="20"/>
          <w:szCs w:val="20"/>
          <w:u w:val="single"/>
        </w:rPr>
      </w:pPr>
      <w:r w:rsidRPr="000835E1">
        <w:rPr>
          <w:rFonts w:ascii="Times New Roman" w:hAnsi="Times New Roman" w:cs="Times New Roman"/>
          <w:b/>
          <w:bCs/>
          <w:sz w:val="20"/>
          <w:szCs w:val="20"/>
          <w:u w:val="single"/>
        </w:rPr>
        <w:t>5°) Protection sociale complémentaire</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Le décret n°</w:t>
      </w:r>
      <w:hyperlink r:id="rId6" w:tgtFrame="_blank" w:history="1">
        <w:r w:rsidRPr="000835E1">
          <w:rPr>
            <w:rFonts w:ascii="Times New Roman" w:hAnsi="Times New Roman" w:cs="Times New Roman"/>
            <w:sz w:val="20"/>
            <w:szCs w:val="20"/>
          </w:rPr>
          <w:t>2011-1474</w:t>
        </w:r>
      </w:hyperlink>
      <w:r w:rsidRPr="000835E1">
        <w:rPr>
          <w:rFonts w:ascii="Times New Roman" w:hAnsi="Times New Roman" w:cs="Times New Roman"/>
          <w:sz w:val="20"/>
          <w:szCs w:val="20"/>
        </w:rPr>
        <w:t>  du 8 novembre 2011 relatif à la participation des collectivités territoriales et de leurs établissements publics au financement de la protection sociale complémentaire de leurs agents permet de verser une aide aux agents qui souscrivent à des contrats ou règlements de protection sociale complémentaire (santé ou prévoyance).</w:t>
      </w:r>
    </w:p>
    <w:p w:rsidR="000835E1" w:rsidRPr="000835E1" w:rsidRDefault="000835E1" w:rsidP="000835E1">
      <w:pPr>
        <w:spacing w:after="0" w:line="240" w:lineRule="auto"/>
        <w:jc w:val="both"/>
        <w:rPr>
          <w:rFonts w:ascii="Times New Roman" w:hAnsi="Times New Roman" w:cs="Times New Roman"/>
          <w:sz w:val="20"/>
          <w:szCs w:val="20"/>
        </w:rPr>
      </w:pPr>
      <w:r w:rsidRPr="000835E1">
        <w:rPr>
          <w:rFonts w:ascii="Times New Roman" w:hAnsi="Times New Roman" w:cs="Times New Roman"/>
          <w:sz w:val="20"/>
          <w:szCs w:val="20"/>
        </w:rPr>
        <w:t>La commune a mis en place une participation de 15.00 € pour tous ses agents sans conditions</w:t>
      </w: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rsidP="000835E1">
      <w:pPr>
        <w:spacing w:after="0" w:line="240" w:lineRule="auto"/>
        <w:jc w:val="both"/>
        <w:rPr>
          <w:rFonts w:ascii="Times New Roman" w:hAnsi="Times New Roman" w:cs="Times New Roman"/>
          <w:sz w:val="20"/>
          <w:szCs w:val="20"/>
        </w:rPr>
      </w:pPr>
    </w:p>
    <w:p w:rsidR="000835E1" w:rsidRPr="000835E1" w:rsidRDefault="000835E1">
      <w:pPr>
        <w:rPr>
          <w:rFonts w:ascii="Times New Roman" w:hAnsi="Times New Roman" w:cs="Times New Roman"/>
          <w:sz w:val="20"/>
          <w:szCs w:val="20"/>
        </w:rPr>
      </w:pPr>
    </w:p>
    <w:p w:rsidR="000835E1" w:rsidRPr="000835E1" w:rsidRDefault="000835E1">
      <w:pPr>
        <w:rPr>
          <w:rFonts w:ascii="Times New Roman" w:hAnsi="Times New Roman" w:cs="Times New Roman"/>
          <w:sz w:val="20"/>
          <w:szCs w:val="20"/>
        </w:rPr>
      </w:pPr>
    </w:p>
    <w:sectPr w:rsidR="000835E1" w:rsidRPr="00083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EE0"/>
    <w:multiLevelType w:val="hybridMultilevel"/>
    <w:tmpl w:val="1C5AFA4A"/>
    <w:lvl w:ilvl="0" w:tplc="3E92E782">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0DD6"/>
    <w:multiLevelType w:val="hybridMultilevel"/>
    <w:tmpl w:val="DB201AB0"/>
    <w:lvl w:ilvl="0" w:tplc="2D404CC8">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31356"/>
    <w:multiLevelType w:val="hybridMultilevel"/>
    <w:tmpl w:val="B8FAD5B0"/>
    <w:lvl w:ilvl="0" w:tplc="D80AB888">
      <w:numFmt w:val="bullet"/>
      <w:lvlText w:val="-"/>
      <w:lvlJc w:val="left"/>
      <w:pPr>
        <w:ind w:left="525" w:hanging="360"/>
      </w:pPr>
      <w:rPr>
        <w:rFonts w:ascii="Calibri Light" w:eastAsia="Calibri" w:hAnsi="Calibri Light" w:cs="Times New Roman" w:hint="default"/>
      </w:rPr>
    </w:lvl>
    <w:lvl w:ilvl="1" w:tplc="040C0003" w:tentative="1">
      <w:start w:val="1"/>
      <w:numFmt w:val="bullet"/>
      <w:lvlText w:val="o"/>
      <w:lvlJc w:val="left"/>
      <w:pPr>
        <w:ind w:left="1245" w:hanging="360"/>
      </w:pPr>
      <w:rPr>
        <w:rFonts w:ascii="Courier New" w:hAnsi="Courier New" w:cs="Courier New" w:hint="default"/>
      </w:rPr>
    </w:lvl>
    <w:lvl w:ilvl="2" w:tplc="040C0005" w:tentative="1">
      <w:start w:val="1"/>
      <w:numFmt w:val="bullet"/>
      <w:lvlText w:val=""/>
      <w:lvlJc w:val="left"/>
      <w:pPr>
        <w:ind w:left="1965" w:hanging="360"/>
      </w:pPr>
      <w:rPr>
        <w:rFonts w:ascii="Wingdings" w:hAnsi="Wingdings" w:hint="default"/>
      </w:rPr>
    </w:lvl>
    <w:lvl w:ilvl="3" w:tplc="040C0001" w:tentative="1">
      <w:start w:val="1"/>
      <w:numFmt w:val="bullet"/>
      <w:lvlText w:val=""/>
      <w:lvlJc w:val="left"/>
      <w:pPr>
        <w:ind w:left="2685" w:hanging="360"/>
      </w:pPr>
      <w:rPr>
        <w:rFonts w:ascii="Symbol" w:hAnsi="Symbol" w:hint="default"/>
      </w:rPr>
    </w:lvl>
    <w:lvl w:ilvl="4" w:tplc="040C0003" w:tentative="1">
      <w:start w:val="1"/>
      <w:numFmt w:val="bullet"/>
      <w:lvlText w:val="o"/>
      <w:lvlJc w:val="left"/>
      <w:pPr>
        <w:ind w:left="3405" w:hanging="360"/>
      </w:pPr>
      <w:rPr>
        <w:rFonts w:ascii="Courier New" w:hAnsi="Courier New" w:cs="Courier New" w:hint="default"/>
      </w:rPr>
    </w:lvl>
    <w:lvl w:ilvl="5" w:tplc="040C0005" w:tentative="1">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3" w15:restartNumberingAfterBreak="0">
    <w:nsid w:val="430F4FC3"/>
    <w:multiLevelType w:val="hybridMultilevel"/>
    <w:tmpl w:val="19B6DC90"/>
    <w:lvl w:ilvl="0" w:tplc="43D0044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54354509"/>
    <w:multiLevelType w:val="hybridMultilevel"/>
    <w:tmpl w:val="5AB43F8A"/>
    <w:lvl w:ilvl="0" w:tplc="2D404CC8">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37324D"/>
    <w:multiLevelType w:val="hybridMultilevel"/>
    <w:tmpl w:val="C478BAD0"/>
    <w:lvl w:ilvl="0" w:tplc="040C0005">
      <w:start w:val="1"/>
      <w:numFmt w:val="bullet"/>
      <w:lvlText w:val=""/>
      <w:lvlJc w:val="left"/>
      <w:pPr>
        <w:ind w:left="1068" w:hanging="360"/>
      </w:pPr>
      <w:rPr>
        <w:rFonts w:ascii="Wingdings" w:hAnsi="Wingdings" w:hint="default"/>
      </w:rPr>
    </w:lvl>
    <w:lvl w:ilvl="1" w:tplc="39F02ACC">
      <w:start w:val="1"/>
      <w:numFmt w:val="bullet"/>
      <w:lvlText w:val="-"/>
      <w:lvlJc w:val="left"/>
      <w:pPr>
        <w:ind w:left="1788" w:hanging="360"/>
      </w:pPr>
      <w:rPr>
        <w:rFonts w:ascii="Calibri" w:hAnsi="Calibri" w:hint="default"/>
        <w:color w:val="A5A5A5"/>
      </w:rPr>
    </w:lvl>
    <w:lvl w:ilvl="2" w:tplc="72A6C662">
      <w:numFmt w:val="bullet"/>
      <w:pStyle w:val="Style5"/>
      <w:lvlText w:val=""/>
      <w:lvlJc w:val="left"/>
      <w:pPr>
        <w:ind w:left="2508" w:hanging="360"/>
      </w:pPr>
      <w:rPr>
        <w:rFonts w:ascii="Wingdings" w:eastAsia="Times New Roman" w:hAnsi="Wingdings" w:cs="Calibr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6FF198D"/>
    <w:multiLevelType w:val="hybridMultilevel"/>
    <w:tmpl w:val="B4E0AA94"/>
    <w:lvl w:ilvl="0" w:tplc="7E40D4DE">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E1"/>
    <w:rsid w:val="000835E1"/>
    <w:rsid w:val="00297428"/>
    <w:rsid w:val="00392395"/>
    <w:rsid w:val="003F11B1"/>
    <w:rsid w:val="004D1F10"/>
    <w:rsid w:val="00593C5E"/>
    <w:rsid w:val="006008DD"/>
    <w:rsid w:val="006430D4"/>
    <w:rsid w:val="006A204F"/>
    <w:rsid w:val="007538BF"/>
    <w:rsid w:val="007C6F72"/>
    <w:rsid w:val="00834EAD"/>
    <w:rsid w:val="009115D1"/>
    <w:rsid w:val="009B3772"/>
    <w:rsid w:val="00A4021A"/>
    <w:rsid w:val="00B64FC1"/>
    <w:rsid w:val="00C23DFF"/>
    <w:rsid w:val="00D674AC"/>
    <w:rsid w:val="00D849F3"/>
    <w:rsid w:val="00FC6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C4EE"/>
  <w15:chartTrackingRefBased/>
  <w15:docId w15:val="{04E4A9F5-0B96-4CFC-B9A3-B37F1225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35E1"/>
    <w:pPr>
      <w:ind w:left="720"/>
      <w:contextualSpacing/>
    </w:pPr>
    <w:rPr>
      <w:rFonts w:ascii="Calibri" w:eastAsia="Calibri" w:hAnsi="Calibri" w:cs="Times New Roman"/>
    </w:rPr>
  </w:style>
  <w:style w:type="paragraph" w:styleId="Textebrut">
    <w:name w:val="Plain Text"/>
    <w:basedOn w:val="Normal"/>
    <w:link w:val="TextebrutCar"/>
    <w:uiPriority w:val="99"/>
    <w:unhideWhenUsed/>
    <w:rsid w:val="000835E1"/>
    <w:pPr>
      <w:spacing w:after="0" w:line="240" w:lineRule="auto"/>
    </w:pPr>
    <w:rPr>
      <w:rFonts w:ascii="Consolas" w:eastAsia="Arial" w:hAnsi="Consolas" w:cs="Consolas"/>
      <w:sz w:val="21"/>
      <w:szCs w:val="21"/>
    </w:rPr>
  </w:style>
  <w:style w:type="character" w:customStyle="1" w:styleId="TextebrutCar">
    <w:name w:val="Texte brut Car"/>
    <w:basedOn w:val="Policepardfaut"/>
    <w:link w:val="Textebrut"/>
    <w:uiPriority w:val="99"/>
    <w:rsid w:val="000835E1"/>
    <w:rPr>
      <w:rFonts w:ascii="Consolas" w:eastAsia="Arial" w:hAnsi="Consolas" w:cs="Consolas"/>
      <w:sz w:val="21"/>
      <w:szCs w:val="21"/>
    </w:rPr>
  </w:style>
  <w:style w:type="character" w:styleId="lev">
    <w:name w:val="Strong"/>
    <w:uiPriority w:val="22"/>
    <w:qFormat/>
    <w:rsid w:val="000835E1"/>
    <w:rPr>
      <w:b/>
      <w:bCs/>
    </w:rPr>
  </w:style>
  <w:style w:type="character" w:styleId="Lienhypertexte">
    <w:name w:val="Hyperlink"/>
    <w:uiPriority w:val="99"/>
    <w:unhideWhenUsed/>
    <w:rsid w:val="000835E1"/>
    <w:rPr>
      <w:strike w:val="0"/>
      <w:dstrike w:val="0"/>
      <w:color w:val="3E6DA9"/>
      <w:u w:val="none"/>
      <w:effect w:val="none"/>
    </w:rPr>
  </w:style>
  <w:style w:type="paragraph" w:customStyle="1" w:styleId="Style5">
    <w:name w:val="Style 5"/>
    <w:basedOn w:val="Normal"/>
    <w:next w:val="Normal"/>
    <w:autoRedefine/>
    <w:qFormat/>
    <w:rsid w:val="000835E1"/>
    <w:pPr>
      <w:numPr>
        <w:ilvl w:val="2"/>
        <w:numId w:val="5"/>
      </w:numPr>
      <w:spacing w:after="0" w:line="276" w:lineRule="auto"/>
      <w:ind w:left="993"/>
      <w:jc w:val="both"/>
      <w:outlineLvl w:val="4"/>
    </w:pPr>
    <w:rPr>
      <w:rFonts w:ascii="Arial" w:eastAsia="Times New Roman" w:hAnsi="Arial" w:cs="Arial"/>
      <w:b/>
      <w:bCs/>
      <w:i/>
      <w:color w:val="2F5496"/>
      <w:sz w:val="20"/>
      <w:szCs w:val="20"/>
      <w:lang w:eastAsia="fr-FR"/>
    </w:rPr>
  </w:style>
  <w:style w:type="table" w:styleId="Grilledutableau">
    <w:name w:val="Table Grid"/>
    <w:basedOn w:val="TableauNormal"/>
    <w:uiPriority w:val="39"/>
    <w:rsid w:val="0008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4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4EAD"/>
    <w:rPr>
      <w:rFonts w:ascii="Segoe UI" w:hAnsi="Segoe UI" w:cs="Segoe UI"/>
      <w:sz w:val="18"/>
      <w:szCs w:val="18"/>
    </w:rPr>
  </w:style>
  <w:style w:type="paragraph" w:customStyle="1" w:styleId="Normal0">
    <w:name w:val="[Normal]"/>
    <w:rsid w:val="00A4021A"/>
    <w:pPr>
      <w:widowControl w:val="0"/>
      <w:autoSpaceDE w:val="0"/>
      <w:autoSpaceDN w:val="0"/>
      <w:adjustRightInd w:val="0"/>
      <w:spacing w:after="0" w:line="240" w:lineRule="auto"/>
    </w:pPr>
    <w:rPr>
      <w:rFonts w:ascii="Arial" w:eastAsiaTheme="minorEastAsia"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Texte.do?cidTexte=JORFTEXT000024772150&amp;fastPos=1&amp;fastReqId=1937846143&amp;categorieLien=cid&amp;oldAction=rechTexte" TargetMode="External"/><Relationship Id="rId5" Type="http://schemas.openxmlformats.org/officeDocument/2006/relationships/hyperlink" Target="https://www.legifrance.gouv.fr/loda/id/JORFTEXT000000320434/2020-09-1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1514</Words>
  <Characters>8329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cp:lastPrinted>2024-06-14T07:50:00Z</cp:lastPrinted>
  <dcterms:created xsi:type="dcterms:W3CDTF">2024-06-25T11:46:00Z</dcterms:created>
  <dcterms:modified xsi:type="dcterms:W3CDTF">2024-06-25T11:47:00Z</dcterms:modified>
</cp:coreProperties>
</file>