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3E5D0" w14:textId="7EB3F3F4" w:rsidR="00296278" w:rsidRPr="00C728C3" w:rsidRDefault="00C52581" w:rsidP="00C728C3">
      <w:pPr>
        <w:jc w:val="center"/>
        <w:rPr>
          <w:b/>
          <w:i/>
          <w:sz w:val="28"/>
          <w:szCs w:val="28"/>
          <w:u w:val="single"/>
        </w:rPr>
      </w:pPr>
      <w:r>
        <w:rPr>
          <w:b/>
          <w:i/>
          <w:sz w:val="28"/>
          <w:szCs w:val="28"/>
          <w:u w:val="single"/>
        </w:rPr>
        <w:t xml:space="preserve">Procès-verbal du </w:t>
      </w:r>
      <w:r w:rsidR="00EE2345" w:rsidRPr="00C728C3">
        <w:rPr>
          <w:b/>
          <w:i/>
          <w:sz w:val="28"/>
          <w:szCs w:val="28"/>
          <w:u w:val="single"/>
        </w:rPr>
        <w:t>conseil municipal</w:t>
      </w:r>
      <w:r w:rsidR="002638FD">
        <w:rPr>
          <w:b/>
          <w:i/>
          <w:sz w:val="28"/>
          <w:szCs w:val="28"/>
          <w:u w:val="single"/>
        </w:rPr>
        <w:t xml:space="preserve"> </w:t>
      </w:r>
      <w:r>
        <w:rPr>
          <w:b/>
          <w:i/>
          <w:sz w:val="28"/>
          <w:szCs w:val="28"/>
          <w:u w:val="single"/>
        </w:rPr>
        <w:t>du 15 octobre</w:t>
      </w:r>
      <w:r w:rsidR="00EE2345" w:rsidRPr="00C728C3">
        <w:rPr>
          <w:b/>
          <w:i/>
          <w:sz w:val="28"/>
          <w:szCs w:val="28"/>
          <w:u w:val="single"/>
        </w:rPr>
        <w:t xml:space="preserve"> 2025</w:t>
      </w:r>
    </w:p>
    <w:p w14:paraId="40A7C7E1" w14:textId="77777777" w:rsidR="00C52581" w:rsidRDefault="00C52581" w:rsidP="00C52581">
      <w:r>
        <w:t xml:space="preserve">L'an 2025 et le 15 Octobre à 18 heures, le Conseil Municipal de cette Commune, régulièrement convoqué, s'est réuni au nombre prescrit par la loi, dans le lieu habituel de ses séances, à la Mairie sous la présidence </w:t>
      </w:r>
      <w:proofErr w:type="gramStart"/>
      <w:r>
        <w:t>d' ESCURAT</w:t>
      </w:r>
      <w:proofErr w:type="gramEnd"/>
      <w:r>
        <w:t xml:space="preserve"> Elisabeth, Maire.</w:t>
      </w:r>
    </w:p>
    <w:p w14:paraId="7C76CB40" w14:textId="77777777" w:rsidR="00C52581" w:rsidRDefault="00C52581" w:rsidP="00C52581">
      <w:r>
        <w:t>Présents : Mme ESCURAT Elisabeth, Maire, Mmes : AMANT Marie-</w:t>
      </w:r>
      <w:proofErr w:type="spellStart"/>
      <w:r>
        <w:t>Noële</w:t>
      </w:r>
      <w:proofErr w:type="spellEnd"/>
      <w:r>
        <w:t>, DAUVILLAIRE Jacqueline, MERET Sybille, MM : CHAPUIS Joseph, CHATILLON Gilles, MOREAU Benjamin, MOREAU Didier</w:t>
      </w:r>
    </w:p>
    <w:p w14:paraId="74603FF9" w14:textId="77777777" w:rsidR="00C52581" w:rsidRDefault="00C52581" w:rsidP="00C52581">
      <w:r>
        <w:t>Absents : Absent(s) : MM : MARCHAND Rémi, WOZNIAK Bernard</w:t>
      </w:r>
    </w:p>
    <w:p w14:paraId="5F56DAB2" w14:textId="75E0F794" w:rsidR="00C52581" w:rsidRDefault="00C52581" w:rsidP="00C52581">
      <w:r>
        <w:t xml:space="preserve"> Secrétaire de séance : M. CHATILLON Gilles</w:t>
      </w:r>
    </w:p>
    <w:p w14:paraId="00FB93AA" w14:textId="3C03B91A" w:rsidR="00C52581" w:rsidRDefault="00C52581" w:rsidP="00C52581">
      <w:r>
        <w:t>Le Procès -Verbal de la séance précédente est adopté à l’unanimité</w:t>
      </w:r>
    </w:p>
    <w:p w14:paraId="60358C26" w14:textId="77777777" w:rsidR="00E808E7" w:rsidRPr="009060E0" w:rsidRDefault="00E808E7">
      <w:pPr>
        <w:rPr>
          <w:b/>
          <w:u w:val="single"/>
        </w:rPr>
      </w:pPr>
      <w:r w:rsidRPr="009060E0">
        <w:rPr>
          <w:b/>
          <w:u w:val="single"/>
        </w:rPr>
        <w:t>REVALORISATION 2026 DES LOYERS DES LOGEMENTS COMMUNAUX</w:t>
      </w:r>
    </w:p>
    <w:p w14:paraId="014E87CB" w14:textId="77777777" w:rsidR="00E808E7" w:rsidRPr="00E808E7" w:rsidRDefault="00E808E7" w:rsidP="00E808E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E808E7">
        <w:rPr>
          <w:rFonts w:ascii="Times New Roman" w:hAnsi="Times New Roman" w:cs="Times New Roman"/>
        </w:rPr>
        <w:t>Le Maire rappelle au conseil le montant des loyers des logements communaux :</w:t>
      </w:r>
    </w:p>
    <w:p w14:paraId="3CBC1F22" w14:textId="77777777" w:rsidR="00E808E7" w:rsidRPr="00E808E7" w:rsidRDefault="00E808E7" w:rsidP="00E808E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18033186"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rPr>
      </w:pPr>
      <w:r w:rsidRPr="00E808E7">
        <w:rPr>
          <w:rFonts w:ascii="Calibri" w:hAnsi="Calibri" w:cs="Calibri"/>
        </w:rPr>
        <w:t>Logement au-dessus de la mairie</w:t>
      </w:r>
      <w:r w:rsidRPr="00E808E7">
        <w:rPr>
          <w:rFonts w:ascii="Calibri" w:hAnsi="Calibri" w:cs="Calibri"/>
        </w:rPr>
        <w:tab/>
      </w:r>
      <w:r w:rsidRPr="00E808E7">
        <w:rPr>
          <w:rFonts w:ascii="Calibri" w:hAnsi="Calibri" w:cs="Calibri"/>
        </w:rPr>
        <w:tab/>
        <w:t>300.00</w:t>
      </w:r>
    </w:p>
    <w:p w14:paraId="4D8F9C46"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rPr>
      </w:pPr>
      <w:r w:rsidRPr="00E808E7">
        <w:rPr>
          <w:rFonts w:ascii="Calibri" w:hAnsi="Calibri" w:cs="Calibri"/>
        </w:rPr>
        <w:t>Maison du Bourg</w:t>
      </w:r>
      <w:r w:rsidRPr="00E808E7">
        <w:rPr>
          <w:rFonts w:ascii="Calibri" w:hAnsi="Calibri" w:cs="Calibri"/>
        </w:rPr>
        <w:tab/>
      </w:r>
      <w:r w:rsidRPr="00E808E7">
        <w:rPr>
          <w:rFonts w:ascii="Calibri" w:hAnsi="Calibri" w:cs="Calibri"/>
        </w:rPr>
        <w:tab/>
      </w:r>
      <w:r w:rsidRPr="00E808E7">
        <w:rPr>
          <w:rFonts w:ascii="Calibri" w:hAnsi="Calibri" w:cs="Calibri"/>
        </w:rPr>
        <w:tab/>
      </w:r>
      <w:r w:rsidRPr="00E808E7">
        <w:rPr>
          <w:rFonts w:ascii="Calibri" w:hAnsi="Calibri" w:cs="Calibri"/>
        </w:rPr>
        <w:tab/>
        <w:t>520.00</w:t>
      </w:r>
    </w:p>
    <w:p w14:paraId="196B04EB"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rPr>
      </w:pPr>
      <w:r w:rsidRPr="00E808E7">
        <w:rPr>
          <w:rFonts w:ascii="Calibri" w:hAnsi="Calibri" w:cs="Calibri"/>
        </w:rPr>
        <w:t>Maison des Gardes logement T2</w:t>
      </w:r>
      <w:r w:rsidRPr="00E808E7">
        <w:rPr>
          <w:rFonts w:ascii="Calibri" w:hAnsi="Calibri" w:cs="Calibri"/>
        </w:rPr>
        <w:tab/>
      </w:r>
      <w:r w:rsidRPr="00E808E7">
        <w:rPr>
          <w:rFonts w:ascii="Calibri" w:hAnsi="Calibri" w:cs="Calibri"/>
        </w:rPr>
        <w:tab/>
        <w:t>450.00</w:t>
      </w:r>
    </w:p>
    <w:p w14:paraId="39A87CE5"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rPr>
      </w:pPr>
      <w:r w:rsidRPr="00E808E7">
        <w:rPr>
          <w:rFonts w:ascii="Calibri" w:hAnsi="Calibri" w:cs="Calibri"/>
        </w:rPr>
        <w:t>Maison des gardes Logement T4</w:t>
      </w:r>
      <w:r w:rsidRPr="00E808E7">
        <w:rPr>
          <w:rFonts w:ascii="Calibri" w:hAnsi="Calibri" w:cs="Calibri"/>
        </w:rPr>
        <w:tab/>
      </w:r>
      <w:r w:rsidRPr="00E808E7">
        <w:rPr>
          <w:rFonts w:ascii="Calibri" w:hAnsi="Calibri" w:cs="Calibri"/>
        </w:rPr>
        <w:tab/>
        <w:t>520.00</w:t>
      </w:r>
    </w:p>
    <w:p w14:paraId="0FCC28A6"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rPr>
      </w:pPr>
      <w:r w:rsidRPr="00E808E7">
        <w:rPr>
          <w:rFonts w:ascii="Calibri" w:hAnsi="Calibri" w:cs="Calibri"/>
        </w:rPr>
        <w:t>Maison 7 chemin du Vernoux</w:t>
      </w:r>
      <w:r w:rsidRPr="00E808E7">
        <w:rPr>
          <w:rFonts w:ascii="Calibri" w:hAnsi="Calibri" w:cs="Calibri"/>
        </w:rPr>
        <w:tab/>
      </w:r>
      <w:r w:rsidRPr="00E808E7">
        <w:rPr>
          <w:rFonts w:ascii="Calibri" w:hAnsi="Calibri" w:cs="Calibri"/>
        </w:rPr>
        <w:tab/>
      </w:r>
      <w:r w:rsidRPr="00E808E7">
        <w:rPr>
          <w:rFonts w:ascii="Calibri" w:hAnsi="Calibri" w:cs="Calibri"/>
        </w:rPr>
        <w:tab/>
        <w:t>500.00</w:t>
      </w:r>
    </w:p>
    <w:p w14:paraId="26401869" w14:textId="77777777" w:rsidR="00E808E7" w:rsidRPr="00E808E7" w:rsidRDefault="00E808E7" w:rsidP="00E808E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E808E7">
        <w:rPr>
          <w:rFonts w:ascii="Times New Roman" w:hAnsi="Times New Roman" w:cs="Times New Roman"/>
        </w:rPr>
        <w:t>Le Maire demande au Conseil Municipal de se prononcer sur la revalorisation des loyers des logements communaux.</w:t>
      </w:r>
    </w:p>
    <w:p w14:paraId="03F53F27" w14:textId="77777777" w:rsidR="00E808E7" w:rsidRPr="00E808E7" w:rsidRDefault="00E808E7" w:rsidP="00E808E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E808E7">
        <w:rPr>
          <w:rFonts w:ascii="Times New Roman" w:hAnsi="Times New Roman" w:cs="Times New Roman"/>
        </w:rPr>
        <w:t>Après en avoir délibéré, le Conseil Municipal décide à l’unanimité de ne pas revaloriser en 202</w:t>
      </w:r>
      <w:r>
        <w:rPr>
          <w:rFonts w:ascii="Times New Roman" w:hAnsi="Times New Roman" w:cs="Times New Roman"/>
        </w:rPr>
        <w:t>6 les loyers de</w:t>
      </w:r>
      <w:r w:rsidRPr="00E808E7">
        <w:rPr>
          <w:rFonts w:ascii="Times New Roman" w:hAnsi="Times New Roman" w:cs="Times New Roman"/>
        </w:rPr>
        <w:t xml:space="preserve"> ses logements communaux.</w:t>
      </w:r>
    </w:p>
    <w:p w14:paraId="728467D3" w14:textId="77777777" w:rsidR="00E808E7" w:rsidRDefault="00E808E7" w:rsidP="00E808E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E808E7">
        <w:rPr>
          <w:rFonts w:ascii="Times New Roman" w:hAnsi="Times New Roman" w:cs="Times New Roman"/>
        </w:rPr>
        <w:t>Il charge le Maire de signer tous documents relatifs à ce dossier.</w:t>
      </w:r>
    </w:p>
    <w:p w14:paraId="5C8FED61" w14:textId="77777777" w:rsidR="00E808E7" w:rsidRDefault="00E808E7" w:rsidP="00E808E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18929974" w14:textId="77777777" w:rsidR="00E808E7" w:rsidRPr="009060E0"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u w:val="single"/>
        </w:rPr>
      </w:pPr>
      <w:r w:rsidRPr="009060E0">
        <w:rPr>
          <w:rFonts w:ascii="Times New Roman" w:hAnsi="Times New Roman" w:cs="Times New Roman"/>
          <w:b/>
          <w:u w:val="single"/>
        </w:rPr>
        <w:t>Demande de fonds de concours 2026 auprès de la Communauté de Communes Sud Nivernais (CCSN) pour la réalisation de la deuxième partie de la toiture maison 7 chemin du Vernoux.</w:t>
      </w:r>
    </w:p>
    <w:p w14:paraId="4B15AA3E"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Pr>
          <w:rFonts w:ascii="Times New Roman" w:hAnsi="Times New Roman" w:cs="Times New Roman"/>
        </w:rPr>
        <w:t>L</w:t>
      </w:r>
      <w:r w:rsidRPr="00E808E7">
        <w:rPr>
          <w:rFonts w:ascii="Calibri" w:hAnsi="Calibri" w:cs="Calibri"/>
        </w:rPr>
        <w:t>e Maire rappelle la nécessité de déposer au mois de novembre la demande de fonds de concours 202</w:t>
      </w:r>
      <w:r>
        <w:rPr>
          <w:rFonts w:ascii="Calibri" w:hAnsi="Calibri" w:cs="Calibri"/>
        </w:rPr>
        <w:t>6</w:t>
      </w:r>
      <w:r w:rsidRPr="00E808E7">
        <w:rPr>
          <w:rFonts w:ascii="Calibri" w:hAnsi="Calibri" w:cs="Calibri"/>
        </w:rPr>
        <w:t>. Le Maire présente les devis reçus en mairie pour la réfection</w:t>
      </w:r>
      <w:r>
        <w:rPr>
          <w:rFonts w:ascii="Calibri" w:hAnsi="Calibri" w:cs="Calibri"/>
        </w:rPr>
        <w:t xml:space="preserve"> de la deuxième partie</w:t>
      </w:r>
      <w:r w:rsidRPr="00E808E7">
        <w:rPr>
          <w:rFonts w:ascii="Calibri" w:hAnsi="Calibri" w:cs="Calibri"/>
        </w:rPr>
        <w:t xml:space="preserve"> des travaux de toiture envisagés pour la maison du 7 chemin du Vernoux.</w:t>
      </w:r>
    </w:p>
    <w:p w14:paraId="1930E1B8"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E808E7">
        <w:rPr>
          <w:rFonts w:ascii="Calibri" w:hAnsi="Calibri" w:cs="Calibri"/>
        </w:rPr>
        <w:t>Après en avoir délibéré, le Conseil Municipal décide à l’unanimité de demander le fonds de concours 202</w:t>
      </w:r>
      <w:r>
        <w:rPr>
          <w:rFonts w:ascii="Calibri" w:hAnsi="Calibri" w:cs="Calibri"/>
        </w:rPr>
        <w:t>6</w:t>
      </w:r>
      <w:r w:rsidRPr="00E808E7">
        <w:rPr>
          <w:rFonts w:ascii="Calibri" w:hAnsi="Calibri" w:cs="Calibri"/>
        </w:rPr>
        <w:t xml:space="preserve"> pour </w:t>
      </w:r>
      <w:r>
        <w:rPr>
          <w:rFonts w:ascii="Calibri" w:hAnsi="Calibri" w:cs="Calibri"/>
        </w:rPr>
        <w:t>la réalisation des travaux de la deuxième</w:t>
      </w:r>
      <w:r w:rsidRPr="00E808E7">
        <w:rPr>
          <w:rFonts w:ascii="Calibri" w:hAnsi="Calibri" w:cs="Calibri"/>
        </w:rPr>
        <w:t xml:space="preserve"> partie de la toiture de la maison 7 chemin du Vernoux et valide le plan de financement suivant :</w:t>
      </w:r>
    </w:p>
    <w:p w14:paraId="0350177B"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16"/>
          <w:szCs w:val="16"/>
        </w:rPr>
      </w:pPr>
    </w:p>
    <w:tbl>
      <w:tblPr>
        <w:tblStyle w:val="Grilledutableau"/>
        <w:tblW w:w="0" w:type="auto"/>
        <w:tblLook w:val="04A0" w:firstRow="1" w:lastRow="0" w:firstColumn="1" w:lastColumn="0" w:noHBand="0" w:noVBand="1"/>
      </w:tblPr>
      <w:tblGrid>
        <w:gridCol w:w="4531"/>
        <w:gridCol w:w="4531"/>
      </w:tblGrid>
      <w:tr w:rsidR="00E808E7" w14:paraId="751BB9BF" w14:textId="77777777" w:rsidTr="00E808E7">
        <w:tc>
          <w:tcPr>
            <w:tcW w:w="4531" w:type="dxa"/>
          </w:tcPr>
          <w:p w14:paraId="32A16FAC" w14:textId="77777777" w:rsid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16"/>
                <w:szCs w:val="16"/>
              </w:rPr>
            </w:pPr>
            <w:r>
              <w:rPr>
                <w:rFonts w:ascii="Calibri" w:hAnsi="Calibri" w:cs="Calibri"/>
                <w:sz w:val="16"/>
                <w:szCs w:val="16"/>
              </w:rPr>
              <w:t>dépenses</w:t>
            </w:r>
          </w:p>
        </w:tc>
        <w:tc>
          <w:tcPr>
            <w:tcW w:w="4531" w:type="dxa"/>
          </w:tcPr>
          <w:p w14:paraId="7645F6D8" w14:textId="77777777" w:rsid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16"/>
                <w:szCs w:val="16"/>
              </w:rPr>
            </w:pPr>
            <w:r>
              <w:rPr>
                <w:rFonts w:ascii="Calibri" w:hAnsi="Calibri" w:cs="Calibri"/>
                <w:sz w:val="16"/>
                <w:szCs w:val="16"/>
              </w:rPr>
              <w:t>recettes</w:t>
            </w:r>
          </w:p>
        </w:tc>
      </w:tr>
      <w:tr w:rsidR="00E808E7" w14:paraId="5C44F2EC" w14:textId="77777777" w:rsidTr="00E808E7">
        <w:tc>
          <w:tcPr>
            <w:tcW w:w="4531" w:type="dxa"/>
          </w:tcPr>
          <w:p w14:paraId="43B1C933" w14:textId="77777777" w:rsid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16"/>
                <w:szCs w:val="16"/>
              </w:rPr>
            </w:pPr>
            <w:r>
              <w:rPr>
                <w:rFonts w:ascii="Calibri" w:hAnsi="Calibri" w:cs="Calibri"/>
                <w:sz w:val="16"/>
                <w:szCs w:val="16"/>
              </w:rPr>
              <w:t>Devis de l’Entreprise Morlon</w:t>
            </w:r>
            <w:r w:rsidR="00341C02">
              <w:rPr>
                <w:rFonts w:ascii="Calibri" w:hAnsi="Calibri" w:cs="Calibri"/>
                <w:sz w:val="16"/>
                <w:szCs w:val="16"/>
              </w:rPr>
              <w:t xml:space="preserve">                                    21 800.52</w:t>
            </w:r>
          </w:p>
        </w:tc>
        <w:tc>
          <w:tcPr>
            <w:tcW w:w="4531" w:type="dxa"/>
          </w:tcPr>
          <w:p w14:paraId="16808A43" w14:textId="77777777" w:rsidR="00E808E7" w:rsidRDefault="00341C02" w:rsidP="00341C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16"/>
                <w:szCs w:val="16"/>
              </w:rPr>
            </w:pPr>
            <w:r>
              <w:rPr>
                <w:rFonts w:ascii="Calibri" w:hAnsi="Calibri" w:cs="Calibri"/>
                <w:sz w:val="16"/>
                <w:szCs w:val="16"/>
              </w:rPr>
              <w:t xml:space="preserve">  Fonds de concours 2026                                                      10 900.26</w:t>
            </w:r>
          </w:p>
        </w:tc>
      </w:tr>
      <w:tr w:rsidR="00341C02" w14:paraId="00A7C664" w14:textId="77777777" w:rsidTr="00E808E7">
        <w:tc>
          <w:tcPr>
            <w:tcW w:w="4531" w:type="dxa"/>
          </w:tcPr>
          <w:p w14:paraId="5C28259E" w14:textId="77777777" w:rsidR="00341C02" w:rsidRDefault="00341C02"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16"/>
                <w:szCs w:val="16"/>
              </w:rPr>
            </w:pPr>
          </w:p>
        </w:tc>
        <w:tc>
          <w:tcPr>
            <w:tcW w:w="4531" w:type="dxa"/>
          </w:tcPr>
          <w:p w14:paraId="0B380F18" w14:textId="77777777" w:rsidR="00341C02" w:rsidRDefault="00341C02"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16"/>
                <w:szCs w:val="16"/>
              </w:rPr>
            </w:pPr>
            <w:r>
              <w:rPr>
                <w:rFonts w:ascii="Calibri" w:hAnsi="Calibri" w:cs="Calibri"/>
                <w:sz w:val="16"/>
                <w:szCs w:val="16"/>
              </w:rPr>
              <w:t xml:space="preserve"> Autofinancement                                                                   10 900.26</w:t>
            </w:r>
          </w:p>
        </w:tc>
      </w:tr>
      <w:tr w:rsidR="00E808E7" w14:paraId="11A72682" w14:textId="77777777" w:rsidTr="00E808E7">
        <w:tc>
          <w:tcPr>
            <w:tcW w:w="4531" w:type="dxa"/>
          </w:tcPr>
          <w:p w14:paraId="3F72A66C" w14:textId="77777777" w:rsidR="00E808E7" w:rsidRDefault="00341C02"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16"/>
                <w:szCs w:val="16"/>
              </w:rPr>
            </w:pPr>
            <w:r>
              <w:rPr>
                <w:rFonts w:ascii="Calibri" w:hAnsi="Calibri" w:cs="Calibri"/>
                <w:sz w:val="16"/>
                <w:szCs w:val="16"/>
              </w:rPr>
              <w:t>T</w:t>
            </w:r>
            <w:r w:rsidR="00E808E7">
              <w:rPr>
                <w:rFonts w:ascii="Calibri" w:hAnsi="Calibri" w:cs="Calibri"/>
                <w:sz w:val="16"/>
                <w:szCs w:val="16"/>
              </w:rPr>
              <w:t>otal</w:t>
            </w:r>
            <w:r>
              <w:rPr>
                <w:rFonts w:ascii="Calibri" w:hAnsi="Calibri" w:cs="Calibri"/>
                <w:sz w:val="16"/>
                <w:szCs w:val="16"/>
              </w:rPr>
              <w:t xml:space="preserve">                                                                             21 800.52</w:t>
            </w:r>
          </w:p>
        </w:tc>
        <w:tc>
          <w:tcPr>
            <w:tcW w:w="4531" w:type="dxa"/>
          </w:tcPr>
          <w:p w14:paraId="2C674AA3" w14:textId="77777777" w:rsidR="00E808E7" w:rsidRDefault="00341C02"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16"/>
                <w:szCs w:val="16"/>
              </w:rPr>
            </w:pPr>
            <w:r>
              <w:rPr>
                <w:rFonts w:ascii="Calibri" w:hAnsi="Calibri" w:cs="Calibri"/>
                <w:sz w:val="16"/>
                <w:szCs w:val="16"/>
              </w:rPr>
              <w:t>T</w:t>
            </w:r>
            <w:r w:rsidR="00E808E7">
              <w:rPr>
                <w:rFonts w:ascii="Calibri" w:hAnsi="Calibri" w:cs="Calibri"/>
                <w:sz w:val="16"/>
                <w:szCs w:val="16"/>
              </w:rPr>
              <w:t>otal</w:t>
            </w:r>
            <w:r>
              <w:rPr>
                <w:rFonts w:ascii="Calibri" w:hAnsi="Calibri" w:cs="Calibri"/>
                <w:sz w:val="16"/>
                <w:szCs w:val="16"/>
              </w:rPr>
              <w:t xml:space="preserve">                                                                                           21 800.52</w:t>
            </w:r>
          </w:p>
        </w:tc>
      </w:tr>
    </w:tbl>
    <w:p w14:paraId="547D1427"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16"/>
          <w:szCs w:val="16"/>
        </w:rPr>
      </w:pPr>
    </w:p>
    <w:p w14:paraId="5D7B0E95" w14:textId="77777777" w:rsidR="00E808E7" w:rsidRP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16"/>
          <w:szCs w:val="16"/>
        </w:rPr>
      </w:pPr>
    </w:p>
    <w:p w14:paraId="54EB51FB" w14:textId="77777777" w:rsidR="00E808E7" w:rsidRDefault="00E808E7" w:rsidP="00E8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7" w:lineRule="auto"/>
        <w:rPr>
          <w:rFonts w:ascii="Calibri" w:hAnsi="Calibri" w:cs="Calibri"/>
        </w:rPr>
      </w:pPr>
      <w:r w:rsidRPr="00E808E7">
        <w:rPr>
          <w:rFonts w:ascii="Calibri" w:hAnsi="Calibri" w:cs="Calibri"/>
        </w:rPr>
        <w:t>Il charge le Maire de signer tout document relatif à ce dossier.</w:t>
      </w:r>
    </w:p>
    <w:p w14:paraId="4F325C25" w14:textId="77777777" w:rsidR="004A3EA1" w:rsidRPr="009060E0" w:rsidRDefault="004A3EA1" w:rsidP="004A3EA1">
      <w:pPr>
        <w:spacing w:after="0" w:line="240" w:lineRule="auto"/>
        <w:jc w:val="both"/>
        <w:rPr>
          <w:rFonts w:ascii="Times New Roman" w:hAnsi="Times New Roman" w:cs="Times New Roman"/>
          <w:b/>
          <w:bCs/>
          <w:u w:val="single"/>
        </w:rPr>
      </w:pPr>
      <w:r w:rsidRPr="00FA60A2">
        <w:rPr>
          <w:rFonts w:ascii="Times New Roman" w:hAnsi="Times New Roman" w:cs="Times New Roman"/>
          <w:b/>
          <w:bCs/>
        </w:rPr>
        <w:t>-</w:t>
      </w:r>
      <w:r w:rsidRPr="009060E0">
        <w:rPr>
          <w:rFonts w:ascii="Times New Roman" w:hAnsi="Times New Roman" w:cs="Times New Roman"/>
          <w:b/>
          <w:bCs/>
          <w:u w:val="single"/>
        </w:rPr>
        <w:t>Approbation de la modification des statuts de la Communauté de communes Sud Nivernais compétence "Service Public d’Assainissement Non Collectif (SPANC)" ;</w:t>
      </w:r>
    </w:p>
    <w:p w14:paraId="5A05E55C" w14:textId="77777777" w:rsidR="004A3EA1" w:rsidRPr="009060E0" w:rsidRDefault="004A3EA1" w:rsidP="004A3EA1">
      <w:pPr>
        <w:spacing w:after="0" w:line="240" w:lineRule="auto"/>
        <w:jc w:val="both"/>
        <w:rPr>
          <w:rFonts w:ascii="Times New Roman" w:hAnsi="Times New Roman" w:cs="Times New Roman"/>
          <w:b/>
          <w:bCs/>
          <w:u w:val="single"/>
        </w:rPr>
      </w:pPr>
      <w:r w:rsidRPr="009060E0">
        <w:rPr>
          <w:rFonts w:ascii="Times New Roman" w:hAnsi="Times New Roman" w:cs="Times New Roman"/>
          <w:b/>
          <w:bCs/>
          <w:u w:val="single"/>
        </w:rPr>
        <w:t>-Approbation du transfert de la compétence "Service Public d’Assainissement Non Collectif (SPANC)" à la Communauté de communes Sud Nivernais</w:t>
      </w:r>
    </w:p>
    <w:p w14:paraId="4E56E11A" w14:textId="77777777" w:rsidR="004A3EA1" w:rsidRPr="00FA60A2" w:rsidRDefault="004A3EA1" w:rsidP="004A3EA1">
      <w:pPr>
        <w:jc w:val="both"/>
        <w:rPr>
          <w:rFonts w:ascii="Times New Roman" w:hAnsi="Times New Roman" w:cs="Times New Roman"/>
        </w:rPr>
      </w:pPr>
      <w:r w:rsidRPr="00FA60A2">
        <w:rPr>
          <w:rFonts w:ascii="Times New Roman" w:hAnsi="Times New Roman" w:cs="Times New Roman"/>
        </w:rPr>
        <w:t xml:space="preserve">La Communauté de communes Sud Nivernais (ci-après « CCSN ») n’exerce, à ce jour, aucune compétence en matière d’assainissement non collectif. </w:t>
      </w:r>
    </w:p>
    <w:p w14:paraId="76068858" w14:textId="77777777" w:rsidR="004A3EA1" w:rsidRPr="00FA60A2" w:rsidRDefault="004A3EA1" w:rsidP="004A3EA1">
      <w:pPr>
        <w:spacing w:after="0" w:line="240" w:lineRule="auto"/>
        <w:jc w:val="both"/>
        <w:rPr>
          <w:rFonts w:ascii="Times New Roman" w:hAnsi="Times New Roman" w:cs="Times New Roman"/>
        </w:rPr>
      </w:pPr>
      <w:r w:rsidRPr="00FA60A2">
        <w:rPr>
          <w:rFonts w:ascii="Times New Roman" w:hAnsi="Times New Roman" w:cs="Times New Roman"/>
        </w:rPr>
        <w:t xml:space="preserve">La loi n° 2025-327 du 11 avril 2025 visant à assouplir la gestion des compétence « eau » et « assainissement » a abrogé le transfert obligatoire de ces compétences. </w:t>
      </w:r>
    </w:p>
    <w:p w14:paraId="73A9995E" w14:textId="77777777" w:rsidR="004A3EA1" w:rsidRPr="00FA60A2" w:rsidRDefault="004A3EA1" w:rsidP="004A3EA1">
      <w:pPr>
        <w:spacing w:after="0" w:line="240" w:lineRule="auto"/>
        <w:jc w:val="both"/>
        <w:rPr>
          <w:rFonts w:ascii="Times New Roman" w:hAnsi="Times New Roman" w:cs="Times New Roman"/>
        </w:rPr>
      </w:pPr>
    </w:p>
    <w:p w14:paraId="4C6D9FA9" w14:textId="77777777" w:rsidR="004A3EA1" w:rsidRDefault="004A3EA1" w:rsidP="004A3EA1">
      <w:pPr>
        <w:spacing w:after="0" w:line="240" w:lineRule="auto"/>
        <w:jc w:val="both"/>
      </w:pPr>
      <w:r w:rsidRPr="00FA60A2">
        <w:rPr>
          <w:rFonts w:ascii="Times New Roman" w:hAnsi="Times New Roman" w:cs="Times New Roman"/>
        </w:rPr>
        <w:t xml:space="preserve">La CCSN souhaitant disposer de la compétence </w:t>
      </w:r>
      <w:r>
        <w:rPr>
          <w:rFonts w:ascii="Times New Roman" w:hAnsi="Times New Roman" w:cs="Times New Roman"/>
        </w:rPr>
        <w:t xml:space="preserve">facultative en matière </w:t>
      </w:r>
      <w:r w:rsidRPr="00FA60A2">
        <w:rPr>
          <w:rFonts w:ascii="Times New Roman" w:hAnsi="Times New Roman" w:cs="Times New Roman"/>
        </w:rPr>
        <w:t>d’</w:t>
      </w:r>
      <w:r>
        <w:rPr>
          <w:rFonts w:ascii="Times New Roman" w:hAnsi="Times New Roman" w:cs="Times New Roman"/>
        </w:rPr>
        <w:t>a</w:t>
      </w:r>
      <w:r w:rsidRPr="00FA60A2">
        <w:rPr>
          <w:rFonts w:ascii="Times New Roman" w:hAnsi="Times New Roman" w:cs="Times New Roman"/>
        </w:rPr>
        <w:t xml:space="preserve">ssainissement </w:t>
      </w:r>
      <w:r>
        <w:rPr>
          <w:rFonts w:ascii="Times New Roman" w:hAnsi="Times New Roman" w:cs="Times New Roman"/>
        </w:rPr>
        <w:t>n</w:t>
      </w:r>
      <w:r w:rsidRPr="00FA60A2">
        <w:rPr>
          <w:rFonts w:ascii="Times New Roman" w:hAnsi="Times New Roman" w:cs="Times New Roman"/>
        </w:rPr>
        <w:t xml:space="preserve">on </w:t>
      </w:r>
      <w:r>
        <w:rPr>
          <w:rFonts w:ascii="Times New Roman" w:hAnsi="Times New Roman" w:cs="Times New Roman"/>
        </w:rPr>
        <w:t>c</w:t>
      </w:r>
      <w:r w:rsidRPr="00FA60A2">
        <w:rPr>
          <w:rFonts w:ascii="Times New Roman" w:hAnsi="Times New Roman" w:cs="Times New Roman"/>
        </w:rPr>
        <w:t>ollectif</w:t>
      </w:r>
      <w:r>
        <w:rPr>
          <w:rFonts w:ascii="Times New Roman" w:hAnsi="Times New Roman" w:cs="Times New Roman"/>
        </w:rPr>
        <w:t xml:space="preserve">, </w:t>
      </w:r>
      <w:r w:rsidRPr="00FA60A2">
        <w:rPr>
          <w:rFonts w:ascii="Times New Roman" w:hAnsi="Times New Roman" w:cs="Times New Roman"/>
        </w:rPr>
        <w:t xml:space="preserve">son conseil communautaire a, par délibération n° </w:t>
      </w:r>
      <w:r>
        <w:rPr>
          <w:rFonts w:ascii="Times New Roman" w:hAnsi="Times New Roman" w:cs="Times New Roman"/>
        </w:rPr>
        <w:t>2025-092</w:t>
      </w:r>
      <w:r w:rsidRPr="00FA60A2">
        <w:rPr>
          <w:rFonts w:ascii="Times New Roman" w:hAnsi="Times New Roman" w:cs="Times New Roman"/>
        </w:rPr>
        <w:t xml:space="preserve"> du </w:t>
      </w:r>
      <w:r>
        <w:rPr>
          <w:rFonts w:ascii="Times New Roman" w:hAnsi="Times New Roman" w:cs="Times New Roman"/>
        </w:rPr>
        <w:t>16 septembre</w:t>
      </w:r>
      <w:r w:rsidRPr="00FA60A2">
        <w:rPr>
          <w:rFonts w:ascii="Times New Roman" w:hAnsi="Times New Roman" w:cs="Times New Roman"/>
        </w:rPr>
        <w:t xml:space="preserve"> 2025 </w:t>
      </w:r>
      <w:r w:rsidRPr="00AC606D">
        <w:rPr>
          <w:rFonts w:ascii="Times New Roman" w:hAnsi="Times New Roman" w:cs="Times New Roman"/>
        </w:rPr>
        <w:t>approuvé l’ajout dans les statuts de la CCSN de la compétence facultative « </w:t>
      </w:r>
      <w:r w:rsidRPr="00AC606D">
        <w:rPr>
          <w:rFonts w:ascii="Times New Roman" w:hAnsi="Times New Roman" w:cs="Times New Roman"/>
          <w:i/>
          <w:iCs/>
        </w:rPr>
        <w:t xml:space="preserve">6) </w:t>
      </w:r>
      <w:r w:rsidRPr="000D5D72">
        <w:rPr>
          <w:rFonts w:ascii="Times New Roman" w:hAnsi="Times New Roman" w:cs="Times New Roman"/>
          <w:i/>
          <w:iCs/>
        </w:rPr>
        <w:t xml:space="preserve">Exploitation et gestion du Service Public d’Assainissement Non </w:t>
      </w:r>
      <w:r w:rsidRPr="000D5D72">
        <w:rPr>
          <w:rFonts w:ascii="Times New Roman" w:hAnsi="Times New Roman" w:cs="Times New Roman"/>
          <w:i/>
          <w:iCs/>
        </w:rPr>
        <w:lastRenderedPageBreak/>
        <w:t>Collectif à la carte pour les communes de Decize, Devay, Champvert, La Fermeté, Imphy, Saint-Léger-des-Vignes, Thianges et Verneuil »</w:t>
      </w:r>
      <w:r w:rsidRPr="00AC606D">
        <w:rPr>
          <w:rFonts w:ascii="Times New Roman" w:hAnsi="Times New Roman" w:cs="Times New Roman"/>
        </w:rPr>
        <w:t>» à compter du 1</w:t>
      </w:r>
      <w:r w:rsidRPr="00AC606D">
        <w:rPr>
          <w:rFonts w:ascii="Times New Roman" w:hAnsi="Times New Roman" w:cs="Times New Roman"/>
          <w:vertAlign w:val="superscript"/>
        </w:rPr>
        <w:t>er</w:t>
      </w:r>
      <w:r w:rsidRPr="00AC606D">
        <w:rPr>
          <w:rFonts w:ascii="Times New Roman" w:hAnsi="Times New Roman" w:cs="Times New Roman"/>
        </w:rPr>
        <w:t xml:space="preserve"> janvier 2026</w:t>
      </w:r>
      <w:r>
        <w:t>.</w:t>
      </w:r>
    </w:p>
    <w:p w14:paraId="2493019E" w14:textId="77777777" w:rsidR="004A3EA1" w:rsidRPr="00FA60A2" w:rsidRDefault="004A3EA1" w:rsidP="004A3EA1">
      <w:pPr>
        <w:spacing w:after="0" w:line="240" w:lineRule="auto"/>
        <w:jc w:val="both"/>
        <w:rPr>
          <w:rFonts w:ascii="Times New Roman" w:hAnsi="Times New Roman" w:cs="Times New Roman"/>
        </w:rPr>
      </w:pPr>
    </w:p>
    <w:p w14:paraId="36B1E177" w14:textId="77777777" w:rsidR="004A3EA1" w:rsidRPr="00FA60A2" w:rsidRDefault="004A3EA1" w:rsidP="004A3EA1">
      <w:pPr>
        <w:spacing w:after="0" w:line="240" w:lineRule="auto"/>
        <w:jc w:val="both"/>
        <w:rPr>
          <w:rFonts w:ascii="Times New Roman" w:hAnsi="Times New Roman" w:cs="Times New Roman"/>
        </w:rPr>
      </w:pPr>
      <w:r w:rsidRPr="00FA60A2">
        <w:rPr>
          <w:rFonts w:ascii="Times New Roman" w:hAnsi="Times New Roman" w:cs="Times New Roman"/>
        </w:rPr>
        <w:t xml:space="preserve">La délibération a été notifiée aux maires des communes membres par la Présidente de la CCSN. </w:t>
      </w:r>
    </w:p>
    <w:p w14:paraId="61236E9E" w14:textId="77777777" w:rsidR="004A3EA1" w:rsidRDefault="004A3EA1" w:rsidP="004A3EA1">
      <w:pPr>
        <w:spacing w:after="0" w:line="240" w:lineRule="auto"/>
        <w:jc w:val="both"/>
        <w:rPr>
          <w:rFonts w:ascii="Times New Roman" w:hAnsi="Times New Roman" w:cs="Times New Roman"/>
        </w:rPr>
      </w:pPr>
    </w:p>
    <w:p w14:paraId="27577BD1" w14:textId="77777777" w:rsidR="004A3EA1" w:rsidRPr="00FA60A2" w:rsidRDefault="004A3EA1" w:rsidP="004A3EA1">
      <w:pPr>
        <w:spacing w:after="0" w:line="240" w:lineRule="auto"/>
        <w:jc w:val="both"/>
        <w:rPr>
          <w:rFonts w:ascii="Times New Roman" w:hAnsi="Times New Roman" w:cs="Times New Roman"/>
        </w:rPr>
      </w:pPr>
      <w:r w:rsidRPr="00FA60A2">
        <w:rPr>
          <w:rFonts w:ascii="Times New Roman" w:hAnsi="Times New Roman" w:cs="Times New Roman"/>
        </w:rPr>
        <w:t>À compter cette notification, les conseils municipaux des communes membres disposent d’un délai de trois (3) mois pour se prononcer</w:t>
      </w:r>
      <w:r>
        <w:rPr>
          <w:rFonts w:ascii="Times New Roman" w:hAnsi="Times New Roman" w:cs="Times New Roman"/>
        </w:rPr>
        <w:t xml:space="preserve"> sur la modification statutaire</w:t>
      </w:r>
      <w:r w:rsidRPr="00FA60A2">
        <w:rPr>
          <w:rFonts w:ascii="Times New Roman" w:hAnsi="Times New Roman" w:cs="Times New Roman"/>
        </w:rPr>
        <w:t xml:space="preserve">. À défaut de délibération dans ce délai, leur avis est réputé favorable. </w:t>
      </w:r>
    </w:p>
    <w:p w14:paraId="6235C14A" w14:textId="77777777" w:rsidR="004A3EA1" w:rsidRPr="00FA60A2" w:rsidRDefault="004A3EA1" w:rsidP="004A3EA1">
      <w:pPr>
        <w:spacing w:after="0" w:line="240" w:lineRule="auto"/>
        <w:jc w:val="both"/>
        <w:rPr>
          <w:rFonts w:ascii="Times New Roman" w:hAnsi="Times New Roman" w:cs="Times New Roman"/>
        </w:rPr>
      </w:pPr>
      <w:r>
        <w:rPr>
          <w:rFonts w:ascii="Times New Roman" w:hAnsi="Times New Roman" w:cs="Times New Roman"/>
        </w:rPr>
        <w:t xml:space="preserve"> </w:t>
      </w:r>
    </w:p>
    <w:p w14:paraId="43450ED9" w14:textId="77777777" w:rsidR="004A3EA1" w:rsidRPr="00FA60A2" w:rsidRDefault="004A3EA1" w:rsidP="004A3EA1">
      <w:pPr>
        <w:spacing w:after="0" w:line="240" w:lineRule="auto"/>
        <w:jc w:val="both"/>
        <w:rPr>
          <w:rFonts w:ascii="Times New Roman" w:hAnsi="Times New Roman" w:cs="Times New Roman"/>
        </w:rPr>
      </w:pPr>
      <w:r w:rsidRPr="00FA60A2">
        <w:rPr>
          <w:rFonts w:ascii="Times New Roman" w:hAnsi="Times New Roman" w:cs="Times New Roman"/>
        </w:rPr>
        <w:t>Les</w:t>
      </w:r>
      <w:r>
        <w:rPr>
          <w:rFonts w:ascii="Times New Roman" w:hAnsi="Times New Roman" w:cs="Times New Roman"/>
        </w:rPr>
        <w:t xml:space="preserve"> conseils municipaux des</w:t>
      </w:r>
      <w:r w:rsidRPr="00FA60A2">
        <w:rPr>
          <w:rFonts w:ascii="Times New Roman" w:hAnsi="Times New Roman" w:cs="Times New Roman"/>
        </w:rPr>
        <w:t xml:space="preserve"> communes</w:t>
      </w:r>
      <w:r>
        <w:rPr>
          <w:rFonts w:ascii="Times New Roman" w:hAnsi="Times New Roman" w:cs="Times New Roman"/>
        </w:rPr>
        <w:t xml:space="preserve"> membres de la CCSN</w:t>
      </w:r>
      <w:r w:rsidRPr="00FA60A2">
        <w:rPr>
          <w:rFonts w:ascii="Times New Roman" w:hAnsi="Times New Roman" w:cs="Times New Roman"/>
        </w:rPr>
        <w:t xml:space="preserve"> </w:t>
      </w:r>
      <w:r>
        <w:rPr>
          <w:rFonts w:ascii="Times New Roman" w:hAnsi="Times New Roman" w:cs="Times New Roman"/>
        </w:rPr>
        <w:t>s</w:t>
      </w:r>
      <w:r w:rsidRPr="00FA60A2">
        <w:rPr>
          <w:rFonts w:ascii="Times New Roman" w:hAnsi="Times New Roman" w:cs="Times New Roman"/>
        </w:rPr>
        <w:t xml:space="preserve">ont également </w:t>
      </w:r>
      <w:r>
        <w:rPr>
          <w:rFonts w:ascii="Times New Roman" w:hAnsi="Times New Roman" w:cs="Times New Roman"/>
        </w:rPr>
        <w:t>invités</w:t>
      </w:r>
      <w:r w:rsidRPr="00FA60A2">
        <w:rPr>
          <w:rFonts w:ascii="Times New Roman" w:hAnsi="Times New Roman" w:cs="Times New Roman"/>
        </w:rPr>
        <w:t xml:space="preserve"> à se prononcer dans ce même délai sur leur souhait de transférer cette compétence à la </w:t>
      </w:r>
      <w:r>
        <w:rPr>
          <w:rFonts w:ascii="Times New Roman" w:hAnsi="Times New Roman" w:cs="Times New Roman"/>
        </w:rPr>
        <w:t>CCSN</w:t>
      </w:r>
      <w:r w:rsidRPr="00FA60A2">
        <w:rPr>
          <w:rFonts w:ascii="Times New Roman" w:hAnsi="Times New Roman" w:cs="Times New Roman"/>
        </w:rPr>
        <w:t>, à compter du 1</w:t>
      </w:r>
      <w:r w:rsidRPr="00FA60A2">
        <w:rPr>
          <w:rFonts w:ascii="Times New Roman" w:hAnsi="Times New Roman" w:cs="Times New Roman"/>
          <w:vertAlign w:val="superscript"/>
        </w:rPr>
        <w:t>er</w:t>
      </w:r>
      <w:r w:rsidRPr="00FA60A2">
        <w:rPr>
          <w:rFonts w:ascii="Times New Roman" w:hAnsi="Times New Roman" w:cs="Times New Roman"/>
        </w:rPr>
        <w:t xml:space="preserve"> janvier 2026 et sous réserve de l’arrêté </w:t>
      </w:r>
      <w:r>
        <w:rPr>
          <w:rFonts w:ascii="Times New Roman" w:hAnsi="Times New Roman" w:cs="Times New Roman"/>
        </w:rPr>
        <w:t>pr</w:t>
      </w:r>
      <w:r w:rsidRPr="00FA60A2">
        <w:rPr>
          <w:rFonts w:ascii="Times New Roman" w:hAnsi="Times New Roman" w:cs="Times New Roman"/>
        </w:rPr>
        <w:t>éfectoral actant la modification des statuts</w:t>
      </w:r>
      <w:r>
        <w:rPr>
          <w:rFonts w:ascii="Times New Roman" w:hAnsi="Times New Roman" w:cs="Times New Roman"/>
        </w:rPr>
        <w:t xml:space="preserve"> de la CCSN</w:t>
      </w:r>
      <w:r w:rsidRPr="00FA60A2">
        <w:rPr>
          <w:rFonts w:ascii="Times New Roman" w:hAnsi="Times New Roman" w:cs="Times New Roman"/>
        </w:rPr>
        <w:t>.</w:t>
      </w:r>
    </w:p>
    <w:p w14:paraId="4B5761F0" w14:textId="77777777" w:rsidR="004A3EA1" w:rsidRPr="00FA60A2" w:rsidRDefault="004A3EA1" w:rsidP="004A3EA1">
      <w:pPr>
        <w:spacing w:after="0" w:line="240" w:lineRule="auto"/>
        <w:jc w:val="both"/>
        <w:rPr>
          <w:rFonts w:ascii="Times New Roman" w:hAnsi="Times New Roman" w:cs="Times New Roman"/>
        </w:rPr>
      </w:pPr>
    </w:p>
    <w:p w14:paraId="72551C7C" w14:textId="77777777" w:rsidR="004A3EA1" w:rsidRDefault="004A3EA1" w:rsidP="004A3EA1">
      <w:pPr>
        <w:spacing w:after="0" w:line="240" w:lineRule="auto"/>
        <w:jc w:val="center"/>
        <w:rPr>
          <w:rFonts w:ascii="Times New Roman" w:hAnsi="Times New Roman" w:cs="Times New Roman"/>
          <w:b/>
          <w:bCs/>
        </w:rPr>
      </w:pPr>
    </w:p>
    <w:p w14:paraId="4632BB41" w14:textId="77777777" w:rsidR="004A3EA1" w:rsidRDefault="004A3EA1" w:rsidP="004A3EA1">
      <w:pPr>
        <w:jc w:val="both"/>
        <w:rPr>
          <w:rFonts w:ascii="Times New Roman" w:hAnsi="Times New Roman" w:cs="Times New Roman"/>
        </w:rPr>
      </w:pPr>
      <w:r w:rsidRPr="008232E8">
        <w:rPr>
          <w:rFonts w:ascii="Times New Roman" w:hAnsi="Times New Roman" w:cs="Times New Roman"/>
          <w:b/>
          <w:bCs/>
        </w:rPr>
        <w:t>Vu</w:t>
      </w:r>
      <w:r w:rsidRPr="008232E8">
        <w:rPr>
          <w:rFonts w:ascii="Times New Roman" w:hAnsi="Times New Roman" w:cs="Times New Roman"/>
        </w:rPr>
        <w:t xml:space="preserve"> le Code général des collectivités territoriales, notamment ses articles L.5211-5, L.5214-16, L.5211-17 et L.5211-17-2 relatifs aux modalités de transfert de compétences ;</w:t>
      </w:r>
    </w:p>
    <w:p w14:paraId="23469058" w14:textId="77777777" w:rsidR="004A3EA1" w:rsidRDefault="004A3EA1" w:rsidP="004A3EA1">
      <w:pPr>
        <w:jc w:val="both"/>
        <w:rPr>
          <w:rFonts w:ascii="Times New Roman" w:hAnsi="Times New Roman" w:cs="Times New Roman"/>
        </w:rPr>
      </w:pPr>
      <w:r w:rsidRPr="008232E8">
        <w:rPr>
          <w:rFonts w:ascii="Times New Roman" w:hAnsi="Times New Roman" w:cs="Times New Roman"/>
          <w:b/>
          <w:bCs/>
        </w:rPr>
        <w:t>Vu</w:t>
      </w:r>
      <w:r w:rsidRPr="008232E8">
        <w:rPr>
          <w:rFonts w:ascii="Times New Roman" w:hAnsi="Times New Roman" w:cs="Times New Roman"/>
        </w:rPr>
        <w:t xml:space="preserve"> la loi n° 2025-327 du 11 avril 2025, abrogeant le caractère obligatoire du transfert des compétences "eau" et "assainissement" aux communautés de communes à compter du 1</w:t>
      </w:r>
      <w:r w:rsidRPr="00AC606D">
        <w:rPr>
          <w:rFonts w:ascii="Times New Roman" w:hAnsi="Times New Roman" w:cs="Times New Roman"/>
          <w:vertAlign w:val="superscript"/>
        </w:rPr>
        <w:t>er</w:t>
      </w:r>
      <w:r>
        <w:rPr>
          <w:rFonts w:ascii="Times New Roman" w:hAnsi="Times New Roman" w:cs="Times New Roman"/>
        </w:rPr>
        <w:t xml:space="preserve"> </w:t>
      </w:r>
      <w:r w:rsidRPr="008232E8">
        <w:rPr>
          <w:rFonts w:ascii="Times New Roman" w:hAnsi="Times New Roman" w:cs="Times New Roman"/>
        </w:rPr>
        <w:t>janvier 2026 ;</w:t>
      </w:r>
    </w:p>
    <w:p w14:paraId="651C50BD" w14:textId="77777777" w:rsidR="004A3EA1" w:rsidRDefault="004A3EA1" w:rsidP="004A3EA1">
      <w:pPr>
        <w:jc w:val="both"/>
        <w:rPr>
          <w:rFonts w:ascii="Times New Roman" w:hAnsi="Times New Roman" w:cs="Times New Roman"/>
        </w:rPr>
      </w:pPr>
      <w:r w:rsidRPr="008232E8">
        <w:rPr>
          <w:rFonts w:ascii="Times New Roman" w:hAnsi="Times New Roman" w:cs="Times New Roman"/>
          <w:b/>
          <w:bCs/>
        </w:rPr>
        <w:t>Vu</w:t>
      </w:r>
      <w:r w:rsidRPr="008232E8">
        <w:rPr>
          <w:rFonts w:ascii="Times New Roman" w:hAnsi="Times New Roman" w:cs="Times New Roman"/>
        </w:rPr>
        <w:t xml:space="preserve"> les statuts actuels de la CCSN datant du 9 septembre 2024 ;</w:t>
      </w:r>
    </w:p>
    <w:p w14:paraId="0A525B86" w14:textId="77777777" w:rsidR="004A3EA1" w:rsidRPr="008232E8" w:rsidRDefault="004A3EA1" w:rsidP="004A3EA1">
      <w:pPr>
        <w:jc w:val="both"/>
        <w:rPr>
          <w:rFonts w:ascii="Times New Roman" w:hAnsi="Times New Roman" w:cs="Times New Roman"/>
        </w:rPr>
      </w:pPr>
      <w:r w:rsidRPr="005374FB">
        <w:rPr>
          <w:rFonts w:ascii="Times New Roman" w:hAnsi="Times New Roman" w:cs="Times New Roman"/>
          <w:b/>
          <w:bCs/>
        </w:rPr>
        <w:t>Vu</w:t>
      </w:r>
      <w:r w:rsidRPr="005374FB">
        <w:rPr>
          <w:rFonts w:ascii="Times New Roman" w:hAnsi="Times New Roman" w:cs="Times New Roman"/>
        </w:rPr>
        <w:t xml:space="preserve"> la délibération n° </w:t>
      </w:r>
      <w:r>
        <w:rPr>
          <w:rFonts w:ascii="Times New Roman" w:hAnsi="Times New Roman" w:cs="Times New Roman"/>
        </w:rPr>
        <w:t>2025_092</w:t>
      </w:r>
      <w:r w:rsidRPr="005374FB">
        <w:rPr>
          <w:rFonts w:ascii="Times New Roman" w:hAnsi="Times New Roman" w:cs="Times New Roman"/>
        </w:rPr>
        <w:t xml:space="preserve"> du </w:t>
      </w:r>
      <w:r>
        <w:rPr>
          <w:rFonts w:ascii="Times New Roman" w:hAnsi="Times New Roman" w:cs="Times New Roman"/>
        </w:rPr>
        <w:t>16 septembre</w:t>
      </w:r>
      <w:r w:rsidRPr="005374FB">
        <w:rPr>
          <w:rFonts w:ascii="Times New Roman" w:hAnsi="Times New Roman" w:cs="Times New Roman"/>
        </w:rPr>
        <w:t xml:space="preserve"> 2025 du Conseil communautaire de la Communauté de communes </w:t>
      </w:r>
      <w:r w:rsidRPr="006D6382">
        <w:rPr>
          <w:rFonts w:ascii="Times New Roman" w:hAnsi="Times New Roman" w:cs="Times New Roman"/>
        </w:rPr>
        <w:t>Sud Nivernais</w:t>
      </w:r>
      <w:r w:rsidRPr="005374FB">
        <w:rPr>
          <w:rFonts w:ascii="Times New Roman" w:hAnsi="Times New Roman" w:cs="Times New Roman"/>
        </w:rPr>
        <w:t xml:space="preserve"> approuvant la modification des statuts de la Communauté de communes </w:t>
      </w:r>
      <w:r w:rsidRPr="006D6382">
        <w:rPr>
          <w:rFonts w:ascii="Times New Roman" w:hAnsi="Times New Roman" w:cs="Times New Roman"/>
        </w:rPr>
        <w:t>Sud Nivernais</w:t>
      </w:r>
      <w:r w:rsidRPr="005374FB">
        <w:rPr>
          <w:rFonts w:ascii="Times New Roman" w:hAnsi="Times New Roman" w:cs="Times New Roman"/>
        </w:rPr>
        <w:t xml:space="preserve"> et l’exercice de la compétence « </w:t>
      </w:r>
      <w:r w:rsidRPr="006733DE">
        <w:rPr>
          <w:rFonts w:ascii="Times New Roman" w:hAnsi="Times New Roman" w:cs="Times New Roman"/>
          <w:i/>
          <w:iCs/>
        </w:rPr>
        <w:t xml:space="preserve">6) </w:t>
      </w:r>
      <w:bookmarkStart w:id="0" w:name="_Hlk208561464"/>
      <w:r w:rsidRPr="006733DE">
        <w:rPr>
          <w:rFonts w:ascii="Times New Roman" w:hAnsi="Times New Roman" w:cs="Times New Roman"/>
          <w:i/>
          <w:iCs/>
        </w:rPr>
        <w:t>Exploitation et gestion du Service Public d’Assainissement Non Collectif</w:t>
      </w:r>
      <w:r>
        <w:rPr>
          <w:rFonts w:ascii="Times New Roman" w:hAnsi="Times New Roman" w:cs="Times New Roman"/>
          <w:i/>
          <w:iCs/>
        </w:rPr>
        <w:t xml:space="preserve"> à la carte pour les communes de Decize, Devay, Champvert, La Fermeté, Imphy, Saint-Léger-des-Vignes, Thianges et Verneuil </w:t>
      </w:r>
      <w:r w:rsidRPr="005374FB">
        <w:rPr>
          <w:rFonts w:ascii="Times New Roman" w:hAnsi="Times New Roman" w:cs="Times New Roman"/>
        </w:rPr>
        <w:t>»</w:t>
      </w:r>
      <w:bookmarkEnd w:id="0"/>
      <w:r w:rsidRPr="005374FB">
        <w:rPr>
          <w:rFonts w:ascii="Times New Roman" w:hAnsi="Times New Roman" w:cs="Times New Roman"/>
        </w:rPr>
        <w:t xml:space="preserve"> à compter du 1</w:t>
      </w:r>
      <w:r w:rsidRPr="00AC606D">
        <w:rPr>
          <w:rFonts w:ascii="Times New Roman" w:hAnsi="Times New Roman" w:cs="Times New Roman"/>
          <w:vertAlign w:val="superscript"/>
        </w:rPr>
        <w:t>er</w:t>
      </w:r>
      <w:r>
        <w:rPr>
          <w:rFonts w:ascii="Times New Roman" w:hAnsi="Times New Roman" w:cs="Times New Roman"/>
        </w:rPr>
        <w:t xml:space="preserve"> </w:t>
      </w:r>
      <w:r w:rsidRPr="005374FB">
        <w:rPr>
          <w:rFonts w:ascii="Times New Roman" w:hAnsi="Times New Roman" w:cs="Times New Roman"/>
        </w:rPr>
        <w:t>janvier 2026 ;</w:t>
      </w:r>
    </w:p>
    <w:p w14:paraId="148DD6A2" w14:textId="77777777" w:rsidR="004A3EA1" w:rsidRPr="002D537C" w:rsidRDefault="004A3EA1" w:rsidP="004A3EA1">
      <w:pPr>
        <w:spacing w:after="0" w:line="240" w:lineRule="auto"/>
        <w:jc w:val="both"/>
        <w:rPr>
          <w:rFonts w:ascii="Times New Roman" w:hAnsi="Times New Roman" w:cs="Times New Roman"/>
        </w:rPr>
      </w:pPr>
      <w:r w:rsidRPr="002D537C">
        <w:rPr>
          <w:rFonts w:ascii="Times New Roman" w:hAnsi="Times New Roman" w:cs="Times New Roman"/>
          <w:b/>
          <w:bCs/>
        </w:rPr>
        <w:t>V</w:t>
      </w:r>
      <w:r>
        <w:rPr>
          <w:rFonts w:ascii="Times New Roman" w:hAnsi="Times New Roman" w:cs="Times New Roman"/>
          <w:b/>
          <w:bCs/>
        </w:rPr>
        <w:t>u</w:t>
      </w:r>
      <w:r w:rsidRPr="002D537C">
        <w:rPr>
          <w:rFonts w:ascii="Times New Roman" w:hAnsi="Times New Roman" w:cs="Times New Roman"/>
        </w:rPr>
        <w:t xml:space="preserve"> l’exposé des motifs ; </w:t>
      </w:r>
    </w:p>
    <w:p w14:paraId="206FCC1C" w14:textId="77777777" w:rsidR="004A3EA1" w:rsidRDefault="004A3EA1" w:rsidP="004A3EA1">
      <w:pPr>
        <w:spacing w:after="0" w:line="240" w:lineRule="auto"/>
        <w:jc w:val="both"/>
        <w:rPr>
          <w:rFonts w:ascii="Times New Roman" w:hAnsi="Times New Roman" w:cs="Times New Roman"/>
        </w:rPr>
      </w:pPr>
    </w:p>
    <w:p w14:paraId="7BF61E0B" w14:textId="77777777" w:rsidR="004A3EA1" w:rsidRPr="00AC606D" w:rsidRDefault="004A3EA1" w:rsidP="004A3EA1">
      <w:pPr>
        <w:jc w:val="both"/>
        <w:rPr>
          <w:rFonts w:ascii="Times New Roman" w:hAnsi="Times New Roman" w:cs="Times New Roman"/>
        </w:rPr>
      </w:pPr>
      <w:r w:rsidRPr="00AC606D">
        <w:rPr>
          <w:rFonts w:ascii="Times New Roman" w:hAnsi="Times New Roman" w:cs="Times New Roman"/>
          <w:b/>
          <w:bCs/>
        </w:rPr>
        <w:t>Considérant</w:t>
      </w:r>
      <w:r w:rsidRPr="00AC606D">
        <w:rPr>
          <w:rFonts w:ascii="Times New Roman" w:hAnsi="Times New Roman" w:cs="Times New Roman"/>
        </w:rPr>
        <w:t xml:space="preserve"> </w:t>
      </w:r>
      <w:r>
        <w:rPr>
          <w:rFonts w:ascii="Times New Roman" w:hAnsi="Times New Roman" w:cs="Times New Roman"/>
        </w:rPr>
        <w:t xml:space="preserve">qu’il y a lieu pour le conseil municipal de chaque commune membre de la CCSN </w:t>
      </w:r>
      <w:r w:rsidRPr="007F2432">
        <w:rPr>
          <w:rFonts w:ascii="Times New Roman" w:hAnsi="Times New Roman" w:cs="Times New Roman"/>
        </w:rPr>
        <w:t xml:space="preserve">d’approuver la modification des statuts de la CCSN pour intégrer la compétence facultative « 6) Exploitation et gestion du Service Public d’Assainissement Non Collectif » à compter du </w:t>
      </w:r>
      <w:r>
        <w:rPr>
          <w:rFonts w:ascii="Times New Roman" w:hAnsi="Times New Roman" w:cs="Times New Roman"/>
        </w:rPr>
        <w:t>1</w:t>
      </w:r>
      <w:r w:rsidRPr="005D2A44">
        <w:rPr>
          <w:rFonts w:ascii="Times New Roman" w:hAnsi="Times New Roman" w:cs="Times New Roman"/>
          <w:vertAlign w:val="superscript"/>
        </w:rPr>
        <w:t>er</w:t>
      </w:r>
      <w:r>
        <w:rPr>
          <w:rFonts w:ascii="Times New Roman" w:hAnsi="Times New Roman" w:cs="Times New Roman"/>
        </w:rPr>
        <w:t xml:space="preserve"> </w:t>
      </w:r>
      <w:r w:rsidRPr="007F2432">
        <w:rPr>
          <w:rFonts w:ascii="Times New Roman" w:hAnsi="Times New Roman" w:cs="Times New Roman"/>
        </w:rPr>
        <w:t xml:space="preserve">janvier 2026 </w:t>
      </w:r>
      <w:r>
        <w:rPr>
          <w:rFonts w:ascii="Times New Roman" w:hAnsi="Times New Roman" w:cs="Times New Roman"/>
        </w:rPr>
        <w:t xml:space="preserve">et </w:t>
      </w:r>
      <w:r w:rsidRPr="00AC606D">
        <w:rPr>
          <w:rFonts w:ascii="Times New Roman" w:hAnsi="Times New Roman" w:cs="Times New Roman"/>
        </w:rPr>
        <w:t xml:space="preserve">de se prononcer </w:t>
      </w:r>
      <w:r>
        <w:rPr>
          <w:rFonts w:ascii="Times New Roman" w:hAnsi="Times New Roman" w:cs="Times New Roman"/>
        </w:rPr>
        <w:t>sur</w:t>
      </w:r>
      <w:r w:rsidRPr="00AC606D">
        <w:rPr>
          <w:rFonts w:ascii="Times New Roman" w:hAnsi="Times New Roman" w:cs="Times New Roman"/>
        </w:rPr>
        <w:t xml:space="preserve"> le transfert</w:t>
      </w:r>
      <w:r>
        <w:rPr>
          <w:rFonts w:ascii="Times New Roman" w:hAnsi="Times New Roman" w:cs="Times New Roman"/>
        </w:rPr>
        <w:t xml:space="preserve"> </w:t>
      </w:r>
      <w:r w:rsidRPr="00AC606D">
        <w:rPr>
          <w:rFonts w:ascii="Times New Roman" w:hAnsi="Times New Roman" w:cs="Times New Roman"/>
        </w:rPr>
        <w:t>de la compétence facultative assainissement non collectif à la CCSN, à compter du 1</w:t>
      </w:r>
      <w:r w:rsidRPr="00AC606D">
        <w:rPr>
          <w:rFonts w:ascii="Times New Roman" w:hAnsi="Times New Roman" w:cs="Times New Roman"/>
          <w:vertAlign w:val="superscript"/>
        </w:rPr>
        <w:t>er</w:t>
      </w:r>
      <w:r>
        <w:rPr>
          <w:rFonts w:ascii="Times New Roman" w:hAnsi="Times New Roman" w:cs="Times New Roman"/>
        </w:rPr>
        <w:t xml:space="preserve"> </w:t>
      </w:r>
      <w:r w:rsidRPr="00AC606D">
        <w:rPr>
          <w:rFonts w:ascii="Times New Roman" w:hAnsi="Times New Roman" w:cs="Times New Roman"/>
        </w:rPr>
        <w:t xml:space="preserve">janvier 2026 ; </w:t>
      </w:r>
    </w:p>
    <w:p w14:paraId="2BEB7DF7" w14:textId="77777777" w:rsidR="004A3EA1" w:rsidRDefault="004A3EA1" w:rsidP="004A3EA1">
      <w:pPr>
        <w:spacing w:after="0" w:line="240" w:lineRule="auto"/>
        <w:jc w:val="both"/>
        <w:rPr>
          <w:rFonts w:ascii="Times New Roman" w:hAnsi="Times New Roman" w:cs="Times New Roman"/>
        </w:rPr>
      </w:pPr>
    </w:p>
    <w:p w14:paraId="044C2ADA" w14:textId="77777777" w:rsidR="004A3EA1" w:rsidRPr="00BE0BD1" w:rsidRDefault="004A3EA1" w:rsidP="004A3EA1">
      <w:pPr>
        <w:spacing w:after="0" w:line="240" w:lineRule="auto"/>
        <w:rPr>
          <w:rFonts w:ascii="Times New Roman" w:hAnsi="Times New Roman" w:cs="Times New Roman"/>
        </w:rPr>
      </w:pPr>
      <w:r w:rsidRPr="00BE0BD1">
        <w:rPr>
          <w:rFonts w:ascii="Times New Roman" w:hAnsi="Times New Roman" w:cs="Times New Roman"/>
          <w:b/>
          <w:bCs/>
        </w:rPr>
        <w:t xml:space="preserve">Il est proposé au conseil municipal </w:t>
      </w:r>
    </w:p>
    <w:p w14:paraId="7914908F" w14:textId="77777777" w:rsidR="004A3EA1" w:rsidRPr="006C0211" w:rsidRDefault="004A3EA1" w:rsidP="004A3EA1">
      <w:pPr>
        <w:spacing w:after="0" w:line="240" w:lineRule="auto"/>
        <w:rPr>
          <w:rFonts w:ascii="Times New Roman" w:hAnsi="Times New Roman" w:cs="Times New Roman"/>
          <w:b/>
          <w:bCs/>
        </w:rPr>
      </w:pPr>
    </w:p>
    <w:p w14:paraId="24FAB3F7" w14:textId="77777777" w:rsidR="004A3EA1" w:rsidRDefault="004A3EA1" w:rsidP="004A3EA1">
      <w:pPr>
        <w:numPr>
          <w:ilvl w:val="0"/>
          <w:numId w:val="1"/>
        </w:numPr>
        <w:spacing w:after="0" w:line="240" w:lineRule="auto"/>
        <w:jc w:val="both"/>
        <w:rPr>
          <w:rFonts w:ascii="Times New Roman" w:hAnsi="Times New Roman" w:cs="Times New Roman"/>
        </w:rPr>
      </w:pPr>
      <w:r>
        <w:rPr>
          <w:rFonts w:ascii="Times New Roman" w:hAnsi="Times New Roman" w:cs="Times New Roman"/>
          <w:b/>
          <w:bCs/>
        </w:rPr>
        <w:t>D’</w:t>
      </w:r>
      <w:r w:rsidRPr="00AC606D">
        <w:rPr>
          <w:rFonts w:ascii="Times New Roman" w:hAnsi="Times New Roman" w:cs="Times New Roman"/>
          <w:b/>
          <w:bCs/>
        </w:rPr>
        <w:t>APPROUVE</w:t>
      </w:r>
      <w:r>
        <w:rPr>
          <w:rFonts w:ascii="Times New Roman" w:hAnsi="Times New Roman" w:cs="Times New Roman"/>
          <w:b/>
          <w:bCs/>
        </w:rPr>
        <w:t>R</w:t>
      </w:r>
      <w:r w:rsidRPr="00AC606D">
        <w:rPr>
          <w:rFonts w:ascii="Times New Roman" w:hAnsi="Times New Roman" w:cs="Times New Roman"/>
        </w:rPr>
        <w:t xml:space="preserve"> la modification des statuts de la CCSN pour intégrer la compétence facultative « </w:t>
      </w:r>
      <w:r w:rsidRPr="00AC606D">
        <w:rPr>
          <w:rFonts w:ascii="Times New Roman" w:hAnsi="Times New Roman" w:cs="Times New Roman"/>
          <w:i/>
          <w:iCs/>
        </w:rPr>
        <w:t xml:space="preserve">6) </w:t>
      </w:r>
      <w:r w:rsidRPr="000D5D72">
        <w:rPr>
          <w:rFonts w:ascii="Times New Roman" w:hAnsi="Times New Roman" w:cs="Times New Roman"/>
          <w:i/>
          <w:iCs/>
        </w:rPr>
        <w:t>Exploitation et gestion du Service Public d’Assainissement Non Collectif à la carte pour les communes de Decize, Devay, Champvert, La Fermeté, Imphy, Saint-Léger-des-Vignes, Thianges et Verneuil »</w:t>
      </w:r>
      <w:r w:rsidRPr="00AC606D">
        <w:rPr>
          <w:rFonts w:ascii="Times New Roman" w:hAnsi="Times New Roman" w:cs="Times New Roman"/>
        </w:rPr>
        <w:t xml:space="preserve"> à compter du 1</w:t>
      </w:r>
      <w:r w:rsidRPr="00AC606D">
        <w:rPr>
          <w:rFonts w:ascii="Times New Roman" w:hAnsi="Times New Roman" w:cs="Times New Roman"/>
          <w:vertAlign w:val="superscript"/>
        </w:rPr>
        <w:t>er</w:t>
      </w:r>
      <w:r w:rsidRPr="00AC606D">
        <w:rPr>
          <w:rFonts w:ascii="Times New Roman" w:hAnsi="Times New Roman" w:cs="Times New Roman"/>
        </w:rPr>
        <w:t xml:space="preserve"> janvier 2026 ;</w:t>
      </w:r>
    </w:p>
    <w:p w14:paraId="40D6C181" w14:textId="77777777" w:rsidR="004A3EA1" w:rsidRPr="00AC606D" w:rsidRDefault="004A3EA1" w:rsidP="004A3EA1">
      <w:pPr>
        <w:spacing w:after="0" w:line="240" w:lineRule="auto"/>
        <w:ind w:left="720"/>
        <w:jc w:val="both"/>
        <w:rPr>
          <w:rFonts w:ascii="Times New Roman" w:hAnsi="Times New Roman" w:cs="Times New Roman"/>
        </w:rPr>
      </w:pPr>
    </w:p>
    <w:p w14:paraId="09CA433D" w14:textId="77777777" w:rsidR="004A3EA1" w:rsidRDefault="004A3EA1" w:rsidP="004A3EA1">
      <w:pPr>
        <w:numPr>
          <w:ilvl w:val="0"/>
          <w:numId w:val="1"/>
        </w:numPr>
        <w:spacing w:after="0" w:line="240" w:lineRule="auto"/>
        <w:jc w:val="both"/>
        <w:rPr>
          <w:rFonts w:ascii="Times New Roman" w:hAnsi="Times New Roman" w:cs="Times New Roman"/>
        </w:rPr>
      </w:pPr>
      <w:r>
        <w:rPr>
          <w:rFonts w:ascii="Times New Roman" w:hAnsi="Times New Roman" w:cs="Times New Roman"/>
          <w:b/>
          <w:bCs/>
        </w:rPr>
        <w:t xml:space="preserve">DE </w:t>
      </w:r>
      <w:r w:rsidRPr="00AC606D">
        <w:rPr>
          <w:rFonts w:ascii="Times New Roman" w:hAnsi="Times New Roman" w:cs="Times New Roman"/>
          <w:b/>
          <w:bCs/>
        </w:rPr>
        <w:t>SE PRONONCE</w:t>
      </w:r>
      <w:r>
        <w:rPr>
          <w:rFonts w:ascii="Times New Roman" w:hAnsi="Times New Roman" w:cs="Times New Roman"/>
          <w:b/>
          <w:bCs/>
        </w:rPr>
        <w:t>R</w:t>
      </w:r>
      <w:r w:rsidRPr="00AC606D">
        <w:rPr>
          <w:rFonts w:ascii="Times New Roman" w:hAnsi="Times New Roman" w:cs="Times New Roman"/>
        </w:rPr>
        <w:t xml:space="preserve"> </w:t>
      </w:r>
      <w:r>
        <w:rPr>
          <w:rFonts w:ascii="Times New Roman" w:hAnsi="Times New Roman" w:cs="Times New Roman"/>
        </w:rPr>
        <w:t>contre le</w:t>
      </w:r>
      <w:r w:rsidRPr="00AC606D">
        <w:rPr>
          <w:rFonts w:ascii="Times New Roman" w:hAnsi="Times New Roman" w:cs="Times New Roman"/>
        </w:rPr>
        <w:t xml:space="preserve"> transfert, par la commune</w:t>
      </w:r>
      <w:r>
        <w:rPr>
          <w:rFonts w:ascii="Times New Roman" w:hAnsi="Times New Roman" w:cs="Times New Roman"/>
        </w:rPr>
        <w:t xml:space="preserve"> d’Avril-sur-Loire</w:t>
      </w:r>
      <w:r w:rsidRPr="00AC606D">
        <w:rPr>
          <w:rFonts w:ascii="Times New Roman" w:hAnsi="Times New Roman" w:cs="Times New Roman"/>
        </w:rPr>
        <w:t>, de la compétence facultative assainissement non collectif à la CCSN, à compter du 1</w:t>
      </w:r>
      <w:r w:rsidRPr="00AC606D">
        <w:rPr>
          <w:rFonts w:ascii="Times New Roman" w:hAnsi="Times New Roman" w:cs="Times New Roman"/>
          <w:vertAlign w:val="superscript"/>
        </w:rPr>
        <w:t>er</w:t>
      </w:r>
      <w:r w:rsidRPr="00AC606D">
        <w:rPr>
          <w:rFonts w:ascii="Times New Roman" w:hAnsi="Times New Roman" w:cs="Times New Roman"/>
        </w:rPr>
        <w:t xml:space="preserve"> janvier 2026 ; </w:t>
      </w:r>
    </w:p>
    <w:p w14:paraId="2F8238AD" w14:textId="77777777" w:rsidR="004A3EA1" w:rsidRPr="00AC606D" w:rsidRDefault="004A3EA1" w:rsidP="004A3EA1">
      <w:pPr>
        <w:spacing w:after="0" w:line="240" w:lineRule="auto"/>
        <w:jc w:val="both"/>
        <w:rPr>
          <w:rFonts w:ascii="Times New Roman" w:hAnsi="Times New Roman" w:cs="Times New Roman"/>
        </w:rPr>
      </w:pPr>
    </w:p>
    <w:p w14:paraId="31C5238F" w14:textId="77777777" w:rsidR="004A3EA1" w:rsidRDefault="004A3EA1" w:rsidP="004A3EA1">
      <w:pPr>
        <w:numPr>
          <w:ilvl w:val="0"/>
          <w:numId w:val="1"/>
        </w:numPr>
        <w:spacing w:after="0" w:line="240" w:lineRule="auto"/>
        <w:jc w:val="both"/>
        <w:rPr>
          <w:rFonts w:ascii="Times New Roman" w:hAnsi="Times New Roman" w:cs="Times New Roman"/>
        </w:rPr>
      </w:pPr>
      <w:r>
        <w:rPr>
          <w:rFonts w:ascii="Times New Roman" w:hAnsi="Times New Roman" w:cs="Times New Roman"/>
          <w:b/>
          <w:bCs/>
        </w:rPr>
        <w:t>D’</w:t>
      </w:r>
      <w:r w:rsidRPr="00CC5084">
        <w:rPr>
          <w:rFonts w:ascii="Times New Roman" w:hAnsi="Times New Roman" w:cs="Times New Roman"/>
          <w:b/>
          <w:bCs/>
        </w:rPr>
        <w:t>AUTORISE</w:t>
      </w:r>
      <w:r>
        <w:rPr>
          <w:rFonts w:ascii="Times New Roman" w:hAnsi="Times New Roman" w:cs="Times New Roman"/>
          <w:b/>
          <w:bCs/>
        </w:rPr>
        <w:t xml:space="preserve">R </w:t>
      </w:r>
      <w:r w:rsidRPr="004A3EA1">
        <w:rPr>
          <w:rFonts w:ascii="Times New Roman" w:hAnsi="Times New Roman" w:cs="Times New Roman"/>
          <w:bCs/>
        </w:rPr>
        <w:t>Madame</w:t>
      </w:r>
      <w:r>
        <w:rPr>
          <w:rFonts w:ascii="Times New Roman" w:hAnsi="Times New Roman" w:cs="Times New Roman"/>
          <w:b/>
          <w:bCs/>
        </w:rPr>
        <w:t xml:space="preserve"> </w:t>
      </w:r>
      <w:r w:rsidRPr="00732232">
        <w:rPr>
          <w:rFonts w:ascii="Times New Roman" w:hAnsi="Times New Roman" w:cs="Times New Roman"/>
        </w:rPr>
        <w:t>le Maire à</w:t>
      </w:r>
      <w:r>
        <w:rPr>
          <w:rFonts w:ascii="Times New Roman" w:hAnsi="Times New Roman" w:cs="Times New Roman"/>
        </w:rPr>
        <w:t xml:space="preserve"> prendre toutes les dispositions relatives à l’exécution des présentes. </w:t>
      </w:r>
    </w:p>
    <w:p w14:paraId="72F1EF33" w14:textId="77777777" w:rsidR="00EB5699" w:rsidRDefault="00EB5699" w:rsidP="00EB5699">
      <w:pPr>
        <w:pStyle w:val="Paragraphedeliste"/>
        <w:rPr>
          <w:rFonts w:ascii="Times New Roman" w:hAnsi="Times New Roman" w:cs="Times New Roman"/>
        </w:rPr>
      </w:pPr>
    </w:p>
    <w:p w14:paraId="467277F4" w14:textId="77777777" w:rsidR="00EB5699" w:rsidRPr="00EB5699" w:rsidRDefault="00341C02" w:rsidP="00EB5699">
      <w:pPr>
        <w:pStyle w:val="Titre2"/>
        <w:spacing w:before="0" w:beforeAutospacing="0" w:after="0" w:afterAutospacing="0"/>
        <w:rPr>
          <w:rFonts w:eastAsia="Times New Roman"/>
          <w:sz w:val="24"/>
          <w:szCs w:val="24"/>
          <w:u w:val="single"/>
        </w:rPr>
      </w:pPr>
      <w:r>
        <w:rPr>
          <w:rFonts w:eastAsia="Times New Roman"/>
          <w:sz w:val="24"/>
          <w:szCs w:val="24"/>
          <w:u w:val="single"/>
        </w:rPr>
        <w:t>Projet -</w:t>
      </w:r>
      <w:r w:rsidR="00EB5699" w:rsidRPr="00EB5699">
        <w:rPr>
          <w:rFonts w:eastAsia="Times New Roman"/>
          <w:sz w:val="24"/>
          <w:szCs w:val="24"/>
          <w:u w:val="single"/>
        </w:rPr>
        <w:t>Délibération de participation pour la protection sociale complémentaire santé des agents</w:t>
      </w:r>
    </w:p>
    <w:p w14:paraId="3070B25E" w14:textId="77777777" w:rsidR="00EB5699" w:rsidRDefault="00EB5699" w:rsidP="00EB5699">
      <w:pPr>
        <w:pStyle w:val="NormalWeb"/>
        <w:spacing w:before="0" w:beforeAutospacing="0" w:after="0" w:afterAutospacing="0"/>
      </w:pPr>
      <w:r>
        <w:t>Le Maire, rappelle à l’assemblée :</w:t>
      </w:r>
    </w:p>
    <w:p w14:paraId="6E779B1C" w14:textId="77777777" w:rsidR="00EB5699" w:rsidRDefault="00EB5699" w:rsidP="00EB5699">
      <w:pPr>
        <w:pStyle w:val="NormalWeb"/>
        <w:spacing w:before="0" w:beforeAutospacing="0" w:after="0" w:afterAutospacing="0"/>
      </w:pPr>
      <w:r>
        <w:t>Vu le code général des collectivités territoriales ;</w:t>
      </w:r>
    </w:p>
    <w:p w14:paraId="7D866EA4" w14:textId="77777777" w:rsidR="00EB5699" w:rsidRDefault="00EB5699" w:rsidP="00EB5699">
      <w:pPr>
        <w:pStyle w:val="NormalWeb"/>
        <w:spacing w:before="0" w:beforeAutospacing="0" w:after="0" w:afterAutospacing="0"/>
      </w:pPr>
      <w:r>
        <w:t>Vu le code général de la fonction publique ;</w:t>
      </w:r>
    </w:p>
    <w:p w14:paraId="294F71F4" w14:textId="77777777" w:rsidR="00EB5699" w:rsidRDefault="00EB5699" w:rsidP="00EB5699">
      <w:pPr>
        <w:pStyle w:val="NormalWeb"/>
        <w:spacing w:before="0" w:beforeAutospacing="0" w:after="0" w:afterAutospacing="0"/>
      </w:pPr>
      <w:r>
        <w:t>Vu le décret n° 2011-1474 du 8 novembre 2011 relatif à la participation des collectivités territoriales et de leurs établissements publics au financement de la protection complémentaire de leurs agents ;</w:t>
      </w:r>
    </w:p>
    <w:p w14:paraId="67D37887" w14:textId="77777777" w:rsidR="00EB5699" w:rsidRDefault="00EB5699" w:rsidP="00EB5699">
      <w:pPr>
        <w:pStyle w:val="NormalWeb"/>
        <w:spacing w:before="0" w:beforeAutospacing="0" w:after="0" w:afterAutospacing="0"/>
      </w:pPr>
      <w:r>
        <w:t>Vu l’avis du comité social territorial en date du … ;</w:t>
      </w:r>
    </w:p>
    <w:p w14:paraId="36C3B98C" w14:textId="77777777" w:rsidR="00EB5699" w:rsidRDefault="00EB5699" w:rsidP="00EB5699">
      <w:pPr>
        <w:pStyle w:val="NormalWeb"/>
        <w:spacing w:before="0" w:beforeAutospacing="0" w:after="0" w:afterAutospacing="0"/>
      </w:pPr>
      <w:r>
        <w:lastRenderedPageBreak/>
        <w:t>Considérant que selon les dispositions des articles L 827-1 et suivants du code général de la fonction publique, les collectivités territoriales et leurs établissements publics peuvent contribuer au financement des garanties de protection sociale complémentaire auxquelles les agents qu'elles emploient souscrivent. La participation des personnes publiques est réservée aux contrats ou règlements garantissant la mise en œuvre de dispositifs de solidarité entre les bénéficiaires, actifs et retraités ;</w:t>
      </w:r>
    </w:p>
    <w:p w14:paraId="0DB1F5EC" w14:textId="77777777" w:rsidR="00EB5699" w:rsidRDefault="00EB5699" w:rsidP="00EB5699">
      <w:pPr>
        <w:pStyle w:val="NormalWeb"/>
        <w:spacing w:before="0" w:beforeAutospacing="0" w:after="0" w:afterAutospacing="0"/>
      </w:pPr>
      <w:r>
        <w:t>Considérant que sont éligibles à cette participation les contrats et règlements en matière de santé ou de prévoyance remplissant la condition de solidarité entre les bénéficiaires, actifs ou retraités, attestée par la délivrance d'un label dans les conditions prévues issues du décret n° 2011-1474 du 8 novembre 2011.</w:t>
      </w:r>
    </w:p>
    <w:p w14:paraId="7F340BD6" w14:textId="77777777" w:rsidR="00EB5699" w:rsidRDefault="00EB5699" w:rsidP="00EB5699">
      <w:pPr>
        <w:pStyle w:val="text-center"/>
        <w:spacing w:before="0" w:beforeAutospacing="0" w:after="0" w:afterAutospacing="0"/>
      </w:pPr>
      <w:r>
        <w:rPr>
          <w:rStyle w:val="lev"/>
        </w:rPr>
        <w:t>Le conseil municipal, après en avoir délibéré, décide à l’unanimité :</w:t>
      </w:r>
    </w:p>
    <w:p w14:paraId="0AB71E49" w14:textId="77777777" w:rsidR="00EB5699" w:rsidRDefault="00EB5699" w:rsidP="00EB5699">
      <w:pPr>
        <w:pStyle w:val="NormalWeb"/>
        <w:spacing w:before="0" w:beforeAutospacing="0" w:after="0" w:afterAutospacing="0"/>
      </w:pPr>
      <w:r>
        <w:t>Dans le domaine de la santé, après avoir recueilli l’avis du comité social territorial, la collectivité souhaite participer au financement des contrats et règlements labellisés auxquels les agents choisissent de souscrire.</w:t>
      </w:r>
    </w:p>
    <w:p w14:paraId="2E118EA4" w14:textId="77777777" w:rsidR="00EB5699" w:rsidRDefault="00EB5699" w:rsidP="00EB5699">
      <w:pPr>
        <w:pStyle w:val="NormalWeb"/>
        <w:spacing w:before="0" w:beforeAutospacing="0" w:after="0" w:afterAutospacing="0"/>
      </w:pPr>
      <w:r>
        <w:t>Il est décidé d’adopter le montant mensuel de la participation et de le fixer à 15 € par agent.</w:t>
      </w:r>
    </w:p>
    <w:p w14:paraId="729A054A" w14:textId="77777777" w:rsidR="00EB5699" w:rsidRDefault="00EB5699" w:rsidP="00EB5699">
      <w:pPr>
        <w:pStyle w:val="NormalWeb"/>
        <w:spacing w:before="0" w:beforeAutospacing="0" w:after="0" w:afterAutospacing="0"/>
      </w:pPr>
      <w:r>
        <w:t>Les crédits nécessaires à la participation seront inscrits au budget primitif, chapitre 12.</w:t>
      </w:r>
    </w:p>
    <w:p w14:paraId="19C9CE50" w14:textId="77777777" w:rsidR="00EB5699" w:rsidRDefault="00EB5699" w:rsidP="00EB5699">
      <w:pPr>
        <w:pStyle w:val="NormalWeb"/>
        <w:spacing w:before="0" w:beforeAutospacing="0" w:after="0" w:afterAutospacing="0"/>
      </w:pPr>
      <w:r>
        <w:t>Le Conseil charge le Maire de signer tout document relatif à ce dossier</w:t>
      </w:r>
    </w:p>
    <w:p w14:paraId="536A8A41" w14:textId="77777777" w:rsidR="009060E0" w:rsidRDefault="009060E0" w:rsidP="00EB5699">
      <w:pPr>
        <w:pStyle w:val="Corpsdetexte"/>
        <w:spacing w:after="80"/>
        <w:rPr>
          <w:rFonts w:cs="Calibri"/>
          <w:b/>
          <w:bCs/>
          <w:caps/>
          <w:sz w:val="24"/>
          <w:szCs w:val="24"/>
          <w:u w:val="single"/>
        </w:rPr>
      </w:pPr>
    </w:p>
    <w:p w14:paraId="0D8299A2" w14:textId="059F82D3" w:rsidR="00EB5699" w:rsidRPr="00A715C0" w:rsidRDefault="00EB5699" w:rsidP="00EB5699">
      <w:pPr>
        <w:pStyle w:val="Corpsdetexte"/>
        <w:spacing w:after="80"/>
        <w:rPr>
          <w:rFonts w:cs="Calibri"/>
          <w:b/>
          <w:bCs/>
          <w:caps/>
          <w:sz w:val="24"/>
          <w:szCs w:val="24"/>
          <w:u w:val="single"/>
        </w:rPr>
      </w:pPr>
      <w:r w:rsidRPr="00A715C0">
        <w:rPr>
          <w:rFonts w:cs="Calibri"/>
          <w:b/>
          <w:bCs/>
          <w:caps/>
          <w:sz w:val="24"/>
          <w:szCs w:val="24"/>
          <w:u w:val="single"/>
        </w:rPr>
        <w:t>ADHÉSION À LA CONVENTION DE PARTICIPATION DU CENTRE DE GESTION EN PRÉVOYANCE (2026-2031)</w:t>
      </w:r>
    </w:p>
    <w:p w14:paraId="664C9851" w14:textId="77777777" w:rsidR="00EB5699" w:rsidRDefault="00EB5699" w:rsidP="00EB5699">
      <w:pPr>
        <w:jc w:val="both"/>
        <w:rPr>
          <w:rFonts w:ascii="Times New Roman" w:hAnsi="Times New Roman"/>
          <w:sz w:val="24"/>
          <w:szCs w:val="24"/>
        </w:rPr>
      </w:pPr>
      <w:r>
        <w:rPr>
          <w:rFonts w:ascii="Times New Roman" w:hAnsi="Times New Roman"/>
          <w:sz w:val="24"/>
          <w:szCs w:val="24"/>
        </w:rPr>
        <w:t xml:space="preserve">Vu le Code des assurances, de la mutualité et de la sécurité sociale, </w:t>
      </w:r>
    </w:p>
    <w:p w14:paraId="237C4BAC" w14:textId="77777777" w:rsidR="00EB5699" w:rsidRDefault="00EB5699" w:rsidP="00EB5699">
      <w:pPr>
        <w:jc w:val="both"/>
        <w:rPr>
          <w:rFonts w:ascii="Times New Roman" w:hAnsi="Times New Roman"/>
          <w:sz w:val="24"/>
          <w:szCs w:val="24"/>
        </w:rPr>
      </w:pPr>
      <w:r>
        <w:rPr>
          <w:rFonts w:ascii="Times New Roman" w:hAnsi="Times New Roman"/>
          <w:sz w:val="24"/>
          <w:szCs w:val="24"/>
        </w:rPr>
        <w:t xml:space="preserve">Vu le Code général de la fonction publique, notamment à ses articles L. 221-4, L. 827-7 et L. 827-8 ; </w:t>
      </w:r>
    </w:p>
    <w:p w14:paraId="726FBCB4" w14:textId="77777777" w:rsidR="00EB5699" w:rsidRDefault="00EB5699" w:rsidP="00EB5699">
      <w:pPr>
        <w:jc w:val="both"/>
        <w:rPr>
          <w:rFonts w:ascii="Times New Roman" w:hAnsi="Times New Roman"/>
          <w:sz w:val="24"/>
          <w:szCs w:val="24"/>
        </w:rPr>
      </w:pPr>
      <w:r>
        <w:rPr>
          <w:rFonts w:ascii="Times New Roman" w:hAnsi="Times New Roman"/>
          <w:sz w:val="24"/>
          <w:szCs w:val="24"/>
        </w:rPr>
        <w:t xml:space="preserve">Vu l’Ordonnance n° 2021-175 du 17 février 2021 ; </w:t>
      </w:r>
    </w:p>
    <w:p w14:paraId="43A74093" w14:textId="77777777" w:rsidR="00EB5699" w:rsidRDefault="00EB5699" w:rsidP="00EB5699">
      <w:pPr>
        <w:jc w:val="both"/>
        <w:rPr>
          <w:rFonts w:ascii="Times New Roman" w:hAnsi="Times New Roman"/>
          <w:sz w:val="24"/>
          <w:szCs w:val="24"/>
        </w:rPr>
      </w:pPr>
      <w:r>
        <w:rPr>
          <w:rFonts w:ascii="Times New Roman" w:hAnsi="Times New Roman"/>
          <w:sz w:val="24"/>
          <w:szCs w:val="24"/>
        </w:rPr>
        <w:t>Vu le Décret n° 2011-1474 du 8 novembre 2011 ;</w:t>
      </w:r>
    </w:p>
    <w:p w14:paraId="0265128F" w14:textId="77777777" w:rsidR="00EB5699" w:rsidRDefault="00EB5699" w:rsidP="00EB5699">
      <w:pPr>
        <w:jc w:val="both"/>
        <w:rPr>
          <w:rFonts w:ascii="Times New Roman" w:hAnsi="Times New Roman"/>
          <w:sz w:val="24"/>
          <w:szCs w:val="24"/>
        </w:rPr>
      </w:pPr>
      <w:r>
        <w:rPr>
          <w:rFonts w:ascii="Times New Roman" w:hAnsi="Times New Roman"/>
          <w:sz w:val="24"/>
          <w:szCs w:val="24"/>
        </w:rPr>
        <w:t xml:space="preserve">Vu le Décret n° 2022-581 du 20 avril 2022 ;  </w:t>
      </w:r>
    </w:p>
    <w:p w14:paraId="7A85B28A" w14:textId="77777777" w:rsidR="00EB5699" w:rsidRDefault="00EB5699" w:rsidP="00EB5699">
      <w:pPr>
        <w:jc w:val="both"/>
        <w:rPr>
          <w:rFonts w:ascii="Times New Roman" w:eastAsia="Calibri" w:hAnsi="Times New Roman"/>
          <w:sz w:val="24"/>
          <w:szCs w:val="24"/>
        </w:rPr>
      </w:pPr>
      <w:r>
        <w:rPr>
          <w:rFonts w:ascii="Times New Roman" w:eastAsia="Calibri" w:hAnsi="Times New Roman"/>
          <w:sz w:val="24"/>
          <w:szCs w:val="24"/>
        </w:rPr>
        <w:t>Vu le lancement par le Centre de Gestion de la Nièvre d’une procédure de consultation pour la réalisation d’une convention de participation en prévoyance, pour le compte des collectivités et établissements publics du département de la Nièvre ;</w:t>
      </w:r>
    </w:p>
    <w:p w14:paraId="761F59FC" w14:textId="77777777" w:rsidR="00EB5699" w:rsidRDefault="00EB5699" w:rsidP="00EB5699">
      <w:pPr>
        <w:pStyle w:val="Titre5"/>
        <w:rPr>
          <w:rFonts w:eastAsia="Calibri"/>
        </w:rPr>
      </w:pPr>
      <w:r>
        <w:rPr>
          <w:rFonts w:eastAsia="Calibri"/>
        </w:rPr>
        <w:t>Vu l’avis favorable du Comité Social Territorial du Centre de Gestion de la Nièvre en date du 23 juin 2025 pour l’attribution du marché en prévoyance à la Mutuelle Nationale Territoriale, et la conclusion avec celle-ci d’une convention de participation sur la période 2026-2031 ;</w:t>
      </w:r>
    </w:p>
    <w:p w14:paraId="2BCC0113" w14:textId="77777777" w:rsidR="00EB5699" w:rsidRDefault="00EB5699" w:rsidP="00EB5699">
      <w:pPr>
        <w:jc w:val="both"/>
        <w:rPr>
          <w:rFonts w:ascii="Times New Roman" w:eastAsia="Calibri" w:hAnsi="Times New Roman"/>
          <w:sz w:val="24"/>
          <w:szCs w:val="24"/>
        </w:rPr>
      </w:pPr>
      <w:r>
        <w:rPr>
          <w:rFonts w:ascii="Times New Roman" w:eastAsia="Calibri" w:hAnsi="Times New Roman"/>
          <w:sz w:val="24"/>
          <w:szCs w:val="24"/>
        </w:rPr>
        <w:t>Vu la délibération n° 20250701_05 du Conseil d’Administration du Centre de Gestion de la Nièvre en date du 1</w:t>
      </w:r>
      <w:r>
        <w:rPr>
          <w:rFonts w:ascii="Times New Roman" w:eastAsia="Calibri" w:hAnsi="Times New Roman"/>
          <w:sz w:val="24"/>
          <w:szCs w:val="24"/>
          <w:vertAlign w:val="superscript"/>
        </w:rPr>
        <w:t>er</w:t>
      </w:r>
      <w:r>
        <w:rPr>
          <w:rFonts w:ascii="Times New Roman" w:eastAsia="Calibri" w:hAnsi="Times New Roman"/>
          <w:sz w:val="24"/>
          <w:szCs w:val="24"/>
        </w:rPr>
        <w:t xml:space="preserve"> juillet 2025, portant attribution du marché en prévoyance à la Mutuelle Nationale Territoriale pour la conclusion d’une convention de participation sur la période 2026-2031 ;</w:t>
      </w:r>
    </w:p>
    <w:p w14:paraId="4C51F85D" w14:textId="77777777" w:rsidR="00EB5699" w:rsidRDefault="00EB5699" w:rsidP="00EB5699">
      <w:pPr>
        <w:jc w:val="both"/>
        <w:rPr>
          <w:rFonts w:ascii="Times New Roman" w:eastAsia="Calibri" w:hAnsi="Times New Roman"/>
          <w:sz w:val="24"/>
          <w:szCs w:val="24"/>
        </w:rPr>
      </w:pPr>
      <w:r>
        <w:rPr>
          <w:rFonts w:ascii="Times New Roman" w:eastAsia="Calibri" w:hAnsi="Times New Roman"/>
          <w:sz w:val="24"/>
          <w:szCs w:val="24"/>
        </w:rPr>
        <w:t>Vu la convention de participation signée entre le Centre de Gestion de la Nièvre et la Mutuelle Nationale Territoriale ;</w:t>
      </w:r>
    </w:p>
    <w:p w14:paraId="7FB1E60B" w14:textId="77777777" w:rsidR="00EB5699" w:rsidRDefault="00EB5699" w:rsidP="00EB5699">
      <w:pPr>
        <w:jc w:val="both"/>
        <w:rPr>
          <w:rFonts w:ascii="Times New Roman" w:eastAsia="Calibri" w:hAnsi="Times New Roman"/>
          <w:sz w:val="24"/>
          <w:szCs w:val="24"/>
        </w:rPr>
      </w:pPr>
      <w:r>
        <w:rPr>
          <w:rFonts w:ascii="Times New Roman" w:eastAsia="Calibri" w:hAnsi="Times New Roman"/>
          <w:sz w:val="24"/>
          <w:szCs w:val="24"/>
        </w:rPr>
        <w:t xml:space="preserve">Vu les effectifs de la collectivité, inférieurs à 50 agents ; </w:t>
      </w:r>
    </w:p>
    <w:p w14:paraId="66D3212A" w14:textId="77777777" w:rsidR="00EB5699" w:rsidRDefault="00EB5699" w:rsidP="00EB5699">
      <w:pPr>
        <w:jc w:val="both"/>
        <w:rPr>
          <w:rFonts w:ascii="Times New Roman" w:eastAsia="Calibri" w:hAnsi="Times New Roman"/>
          <w:sz w:val="24"/>
          <w:szCs w:val="24"/>
        </w:rPr>
      </w:pPr>
      <w:r>
        <w:rPr>
          <w:rFonts w:ascii="Times New Roman" w:eastAsia="Calibri" w:hAnsi="Times New Roman"/>
          <w:sz w:val="24"/>
          <w:szCs w:val="24"/>
        </w:rPr>
        <w:t xml:space="preserve">Vu l’avis favorable du comité social territorial, en date du 26 septembre 2025, pour l’adhésion de la collectivité à la convention de participation du Centre de Gestion de la Nièvre en prévoyance ; </w:t>
      </w:r>
    </w:p>
    <w:p w14:paraId="4CAC3B1F" w14:textId="77777777" w:rsidR="00EB5699" w:rsidRDefault="00EB5699" w:rsidP="00EB5699">
      <w:pPr>
        <w:jc w:val="both"/>
        <w:rPr>
          <w:rFonts w:ascii="Times New Roman" w:eastAsia="Calibri" w:hAnsi="Times New Roman"/>
          <w:sz w:val="24"/>
          <w:szCs w:val="24"/>
        </w:rPr>
      </w:pPr>
      <w:r>
        <w:rPr>
          <w:rFonts w:ascii="Times New Roman" w:eastAsia="Calibri" w:hAnsi="Times New Roman"/>
          <w:sz w:val="24"/>
          <w:szCs w:val="24"/>
        </w:rPr>
        <w:t xml:space="preserve">Considérant la documentation annexée à la présente délibération, présentant notamment les conditions tarifaires de la convention de participation du centre de gestion ; </w:t>
      </w:r>
    </w:p>
    <w:p w14:paraId="0664FF90" w14:textId="77777777" w:rsidR="00EB5699" w:rsidRDefault="00EB5699" w:rsidP="00EB5699">
      <w:pPr>
        <w:jc w:val="both"/>
        <w:rPr>
          <w:rFonts w:ascii="Times New Roman" w:eastAsia="Calibri" w:hAnsi="Times New Roman"/>
          <w:sz w:val="24"/>
          <w:szCs w:val="24"/>
        </w:rPr>
      </w:pPr>
    </w:p>
    <w:p w14:paraId="6BACEEFB" w14:textId="77777777" w:rsidR="00EB5699" w:rsidRDefault="00EB5699" w:rsidP="00EB5699">
      <w:pPr>
        <w:jc w:val="both"/>
        <w:rPr>
          <w:rFonts w:ascii="Times New Roman" w:hAnsi="Times New Roman"/>
          <w:sz w:val="24"/>
          <w:szCs w:val="24"/>
        </w:rPr>
      </w:pPr>
      <w:r>
        <w:rPr>
          <w:rFonts w:ascii="Times New Roman" w:hAnsi="Times New Roman"/>
          <w:sz w:val="24"/>
          <w:szCs w:val="24"/>
        </w:rPr>
        <w:t>Le Maire expose que la collectivité doit proposer à ses agents une solution de prévoyance depuis le 1</w:t>
      </w:r>
      <w:r>
        <w:rPr>
          <w:rFonts w:ascii="Times New Roman" w:hAnsi="Times New Roman"/>
          <w:sz w:val="24"/>
          <w:szCs w:val="24"/>
          <w:vertAlign w:val="superscript"/>
        </w:rPr>
        <w:t>er</w:t>
      </w:r>
      <w:r>
        <w:rPr>
          <w:rFonts w:ascii="Times New Roman" w:hAnsi="Times New Roman"/>
          <w:sz w:val="24"/>
          <w:szCs w:val="24"/>
        </w:rPr>
        <w:t xml:space="preserve"> janvier 2025 dans le but de garantir leurs ressources en cas de maladie, d’invalidité, et éventuellement de décès ou de perte de retraite. </w:t>
      </w:r>
    </w:p>
    <w:p w14:paraId="645911CF" w14:textId="77777777" w:rsidR="00EB5699" w:rsidRDefault="00EB5699" w:rsidP="00EB5699">
      <w:pPr>
        <w:jc w:val="both"/>
        <w:rPr>
          <w:rFonts w:ascii="Times New Roman" w:hAnsi="Times New Roman"/>
          <w:sz w:val="24"/>
          <w:szCs w:val="24"/>
        </w:rPr>
      </w:pPr>
      <w:r>
        <w:rPr>
          <w:rFonts w:ascii="Times New Roman" w:hAnsi="Times New Roman"/>
          <w:sz w:val="24"/>
          <w:szCs w:val="24"/>
        </w:rPr>
        <w:lastRenderedPageBreak/>
        <w:t>Le Centre de Gestion de la Nièvre propose en partenariat avec la Mutuelle Nationale Territoriale (MNT), une offre par le biais d’une convention de participation pour le volet prévoyance à compter du 1</w:t>
      </w:r>
      <w:r>
        <w:rPr>
          <w:rFonts w:ascii="Times New Roman" w:hAnsi="Times New Roman"/>
          <w:sz w:val="24"/>
          <w:szCs w:val="24"/>
          <w:vertAlign w:val="superscript"/>
        </w:rPr>
        <w:t>er</w:t>
      </w:r>
      <w:r>
        <w:rPr>
          <w:rFonts w:ascii="Times New Roman" w:hAnsi="Times New Roman"/>
          <w:sz w:val="24"/>
          <w:szCs w:val="24"/>
        </w:rPr>
        <w:t xml:space="preserve"> janvier 2026, pour une durée de 6 ans, permettant de proposer aux agents des garanties de prévoyance aux coûts les plus avantageux, grâce à l’effet de mutualisation. </w:t>
      </w:r>
    </w:p>
    <w:p w14:paraId="480D3181" w14:textId="77777777" w:rsidR="00EB5699" w:rsidRDefault="00EB5699" w:rsidP="00EB5699">
      <w:pPr>
        <w:jc w:val="both"/>
        <w:rPr>
          <w:rFonts w:ascii="Times New Roman" w:hAnsi="Times New Roman"/>
          <w:sz w:val="24"/>
          <w:szCs w:val="24"/>
        </w:rPr>
      </w:pPr>
      <w:r>
        <w:rPr>
          <w:rFonts w:ascii="Times New Roman" w:hAnsi="Times New Roman"/>
          <w:sz w:val="24"/>
          <w:szCs w:val="24"/>
        </w:rPr>
        <w:t xml:space="preserve">Ces garanties pourront bénéficier aux agents titulaires, aux agents contractuels, ainsi qu’aux agents de droit privé. L’adhésion sera facultative et sera réalisée sans questionnaire médical ou carence. Seuls les agents en arrêt de travail au moment de leur adhésion devront respecter une carence de 30 jours consécutifs sans arrêt à compter de leur retour. </w:t>
      </w:r>
    </w:p>
    <w:p w14:paraId="3D30ECA4" w14:textId="77777777" w:rsidR="00EB5699" w:rsidRDefault="00EB5699" w:rsidP="00EB5699">
      <w:pPr>
        <w:jc w:val="both"/>
        <w:rPr>
          <w:rFonts w:ascii="Times New Roman" w:hAnsi="Times New Roman"/>
          <w:sz w:val="24"/>
          <w:szCs w:val="24"/>
        </w:rPr>
      </w:pPr>
      <w:r>
        <w:rPr>
          <w:rFonts w:ascii="Times New Roman" w:hAnsi="Times New Roman"/>
          <w:sz w:val="24"/>
          <w:szCs w:val="24"/>
        </w:rPr>
        <w:t xml:space="preserve">Conformément aux dispositions de l’article 4 du Décret n° 2011-1474 du 8 novembre 2011, obligeant les collectivités à choisir de verser leur participation employeur soit à des contrats individuels labellisés, soit à des contrats collectifs souscrits dans le cadre d’une convention de participation, seuls les agents ayant adhéré au contrat en prévoyance proposé par le Centre de Gestion pourront bénéficier de la participation employeur de la collectivité.  </w:t>
      </w:r>
    </w:p>
    <w:p w14:paraId="18F3340F" w14:textId="77777777" w:rsidR="00EB5699" w:rsidRDefault="00EB5699" w:rsidP="00EB5699">
      <w:pPr>
        <w:spacing w:after="120"/>
        <w:jc w:val="both"/>
        <w:rPr>
          <w:rFonts w:ascii="Times New Roman" w:hAnsi="Times New Roman"/>
          <w:b/>
          <w:bCs/>
          <w:sz w:val="24"/>
          <w:szCs w:val="24"/>
        </w:rPr>
      </w:pPr>
      <w:r>
        <w:rPr>
          <w:rFonts w:ascii="Times New Roman" w:hAnsi="Times New Roman"/>
          <w:b/>
          <w:bCs/>
          <w:sz w:val="24"/>
          <w:szCs w:val="24"/>
        </w:rPr>
        <w:t xml:space="preserve">La convention de participation proposera une garantie de base incluant : </w:t>
      </w:r>
    </w:p>
    <w:p w14:paraId="4520ED2E" w14:textId="77777777" w:rsidR="00EB5699" w:rsidRDefault="00EB5699" w:rsidP="00EB5699">
      <w:pPr>
        <w:spacing w:after="120"/>
        <w:jc w:val="both"/>
        <w:rPr>
          <w:rFonts w:ascii="Times New Roman" w:hAnsi="Times New Roman"/>
          <w:sz w:val="24"/>
          <w:szCs w:val="24"/>
        </w:rPr>
      </w:pPr>
      <w:r>
        <w:rPr>
          <w:rFonts w:ascii="Times New Roman" w:hAnsi="Times New Roman"/>
          <w:sz w:val="24"/>
          <w:szCs w:val="24"/>
          <w:u w:val="single"/>
        </w:rPr>
        <w:t>- une garantie perte de revenu en cas de congé de maladie</w:t>
      </w:r>
      <w:r>
        <w:rPr>
          <w:rFonts w:ascii="Times New Roman" w:hAnsi="Times New Roman"/>
          <w:sz w:val="24"/>
          <w:szCs w:val="24"/>
        </w:rPr>
        <w:t xml:space="preserve"> (CMO, CLM, CLD, CGM), impliquant le maintien à 90% du traitement indiciaire net ainsi que de l’IFSE nette (Indemnité de fonction, de sujétion et d’expertise), et plus généralement de tous les éléments fixes et récurrents de rémunération. L’indemnisation débutera à compter du passage à demi-traitement pour les agents CNRACL, et concernant les agents non titulaires, à partir du moment où leurs droits statutaires ne leurs permettront plus de toucher un plein traitement. </w:t>
      </w:r>
    </w:p>
    <w:p w14:paraId="1B37CD5D" w14:textId="77777777" w:rsidR="00EB5699" w:rsidRDefault="00EB5699" w:rsidP="00EB5699">
      <w:pPr>
        <w:spacing w:after="120"/>
        <w:jc w:val="both"/>
        <w:rPr>
          <w:rFonts w:ascii="Times New Roman" w:hAnsi="Times New Roman"/>
          <w:sz w:val="24"/>
          <w:szCs w:val="24"/>
        </w:rPr>
      </w:pPr>
      <w:r>
        <w:rPr>
          <w:rFonts w:ascii="Times New Roman" w:hAnsi="Times New Roman"/>
          <w:sz w:val="24"/>
          <w:szCs w:val="24"/>
          <w:u w:val="single"/>
        </w:rPr>
        <w:t>- une garantie invalidité</w:t>
      </w:r>
      <w:r>
        <w:rPr>
          <w:rFonts w:ascii="Times New Roman" w:hAnsi="Times New Roman"/>
          <w:sz w:val="24"/>
          <w:szCs w:val="24"/>
        </w:rPr>
        <w:t xml:space="preserve"> impliquant, en cas de perte de revenu, le maintien à 90% du traitement indiciaire net ainsi que de l’IFSE nette (Indemnité de fonction, de sujétion et d’expertise), et plus généralement de tous les éléments fixes et récurrents de rémunération.</w:t>
      </w:r>
    </w:p>
    <w:p w14:paraId="46CE1F7C" w14:textId="77777777" w:rsidR="00EB5699" w:rsidRDefault="00EB5699" w:rsidP="00EB5699">
      <w:pPr>
        <w:spacing w:after="120"/>
        <w:jc w:val="both"/>
        <w:rPr>
          <w:rFonts w:ascii="Times New Roman" w:hAnsi="Times New Roman"/>
          <w:sz w:val="24"/>
          <w:szCs w:val="24"/>
        </w:rPr>
      </w:pPr>
      <w:r>
        <w:rPr>
          <w:rFonts w:ascii="Times New Roman" w:hAnsi="Times New Roman"/>
          <w:b/>
          <w:bCs/>
          <w:sz w:val="24"/>
          <w:szCs w:val="24"/>
        </w:rPr>
        <w:t>D’autres options facultatives sont proposées au choix de l’agent :</w:t>
      </w:r>
      <w:r>
        <w:rPr>
          <w:rFonts w:ascii="Times New Roman" w:hAnsi="Times New Roman"/>
          <w:sz w:val="24"/>
          <w:szCs w:val="24"/>
        </w:rPr>
        <w:t xml:space="preserve"> </w:t>
      </w:r>
    </w:p>
    <w:p w14:paraId="6C9AA273" w14:textId="77777777" w:rsidR="00EB5699" w:rsidRDefault="00EB5699" w:rsidP="00EB5699">
      <w:pPr>
        <w:spacing w:after="120"/>
        <w:jc w:val="both"/>
        <w:rPr>
          <w:rFonts w:ascii="Times New Roman" w:hAnsi="Times New Roman"/>
          <w:sz w:val="24"/>
          <w:szCs w:val="24"/>
        </w:rPr>
      </w:pPr>
      <w:r>
        <w:rPr>
          <w:rFonts w:ascii="Times New Roman" w:hAnsi="Times New Roman"/>
          <w:sz w:val="24"/>
          <w:szCs w:val="24"/>
          <w:u w:val="single"/>
        </w:rPr>
        <w:t>- une garantie invalidité perte de retraite</w:t>
      </w:r>
      <w:r>
        <w:rPr>
          <w:rFonts w:ascii="Times New Roman" w:hAnsi="Times New Roman"/>
          <w:sz w:val="24"/>
          <w:szCs w:val="24"/>
        </w:rPr>
        <w:t xml:space="preserve"> permettant le versement d’un montant forfaitaire de 20 000€ aux agents CNRACL (les agents IRCANTEC ne subissant pas de perte de retraite en invalidité), </w:t>
      </w:r>
    </w:p>
    <w:p w14:paraId="0356FDC8" w14:textId="77777777" w:rsidR="00EB5699" w:rsidRDefault="00EB5699" w:rsidP="00EB5699">
      <w:pPr>
        <w:spacing w:after="120"/>
        <w:jc w:val="both"/>
        <w:rPr>
          <w:rFonts w:ascii="Times New Roman" w:hAnsi="Times New Roman"/>
          <w:sz w:val="24"/>
          <w:szCs w:val="24"/>
        </w:rPr>
      </w:pPr>
      <w:r>
        <w:rPr>
          <w:rFonts w:ascii="Times New Roman" w:hAnsi="Times New Roman"/>
          <w:sz w:val="24"/>
          <w:szCs w:val="24"/>
          <w:u w:val="single"/>
        </w:rPr>
        <w:t>- une garantie décès ou perte totale et irréversible d’autonomie</w:t>
      </w:r>
      <w:r>
        <w:rPr>
          <w:rFonts w:ascii="Times New Roman" w:hAnsi="Times New Roman"/>
          <w:sz w:val="24"/>
          <w:szCs w:val="24"/>
        </w:rPr>
        <w:t xml:space="preserve"> (PTIA) permettant le versement aux ayants droits, ou à l’agent subissant une dépendance totale, un versement forfaitaire de 50% du salaire annuel brut. </w:t>
      </w:r>
    </w:p>
    <w:p w14:paraId="3B5299A1" w14:textId="77777777" w:rsidR="00EB5699" w:rsidRDefault="00EB5699" w:rsidP="00EB5699">
      <w:pPr>
        <w:jc w:val="both"/>
        <w:rPr>
          <w:rFonts w:ascii="Times New Roman" w:hAnsi="Times New Roman"/>
          <w:b/>
          <w:bCs/>
          <w:sz w:val="24"/>
          <w:szCs w:val="24"/>
        </w:rPr>
      </w:pPr>
      <w:r>
        <w:rPr>
          <w:rFonts w:ascii="Times New Roman" w:hAnsi="Times New Roman"/>
          <w:b/>
          <w:bCs/>
          <w:sz w:val="24"/>
          <w:szCs w:val="24"/>
        </w:rPr>
        <w:t xml:space="preserve">Évolution tarifaire : </w:t>
      </w:r>
    </w:p>
    <w:p w14:paraId="6ADC8343" w14:textId="77777777" w:rsidR="00EB5699" w:rsidRDefault="00EB5699" w:rsidP="00EB5699">
      <w:pPr>
        <w:jc w:val="both"/>
        <w:rPr>
          <w:rFonts w:ascii="Times New Roman" w:hAnsi="Times New Roman"/>
          <w:sz w:val="24"/>
          <w:szCs w:val="24"/>
        </w:rPr>
      </w:pPr>
      <w:r>
        <w:rPr>
          <w:rFonts w:ascii="Times New Roman" w:hAnsi="Times New Roman"/>
          <w:sz w:val="24"/>
          <w:szCs w:val="24"/>
        </w:rPr>
        <w:t xml:space="preserve">Les taux sont garantis pendant 3 ans. Au-delà de cette date, l’augmentation maximale du montant de la cotisation est plafonnée à 15% par an, sous réserve que la MNT puisse légitimement justifier auprès du Centre de gestion d’une augmentation de ses coûts. </w:t>
      </w:r>
    </w:p>
    <w:p w14:paraId="4C358181" w14:textId="77777777" w:rsidR="00EB5699" w:rsidRDefault="00EB5699" w:rsidP="00EB5699">
      <w:pPr>
        <w:jc w:val="both"/>
        <w:rPr>
          <w:rFonts w:ascii="Times New Roman" w:hAnsi="Times New Roman"/>
          <w:b/>
          <w:bCs/>
          <w:sz w:val="24"/>
          <w:szCs w:val="24"/>
        </w:rPr>
      </w:pPr>
      <w:r>
        <w:rPr>
          <w:rFonts w:ascii="Times New Roman" w:hAnsi="Times New Roman"/>
          <w:b/>
          <w:bCs/>
          <w:sz w:val="24"/>
          <w:szCs w:val="24"/>
        </w:rPr>
        <w:t xml:space="preserve">Après lecture et débats, les membres du Conseil Municipal décident : </w:t>
      </w:r>
    </w:p>
    <w:p w14:paraId="3BB61777" w14:textId="77777777" w:rsidR="00EB5699" w:rsidRDefault="00EB5699" w:rsidP="00EB5699">
      <w:pPr>
        <w:pStyle w:val="Paragraphedeliste"/>
        <w:numPr>
          <w:ilvl w:val="0"/>
          <w:numId w:val="2"/>
        </w:numPr>
        <w:spacing w:after="200" w:line="276" w:lineRule="auto"/>
        <w:jc w:val="both"/>
        <w:rPr>
          <w:rFonts w:ascii="Times New Roman" w:hAnsi="Times New Roman" w:cs="Times New Roman"/>
        </w:rPr>
      </w:pPr>
      <w:r>
        <w:rPr>
          <w:rFonts w:ascii="Times New Roman" w:hAnsi="Times New Roman" w:cs="Times New Roman"/>
          <w:b/>
          <w:bCs/>
        </w:rPr>
        <w:t xml:space="preserve">D’ADHERER </w:t>
      </w:r>
      <w:r>
        <w:rPr>
          <w:rFonts w:ascii="Times New Roman" w:hAnsi="Times New Roman" w:cs="Times New Roman"/>
        </w:rPr>
        <w:t xml:space="preserve">à la convention de participation en prévoyance telle que mise en œuvre par le Centre de Gestion de la Nièvre, à compter du 01/01/2026, et prends acte des conditions d’adhésion fixées par celles-ci ; </w:t>
      </w:r>
    </w:p>
    <w:p w14:paraId="53AF15C2" w14:textId="77777777" w:rsidR="00EB5699" w:rsidRDefault="00EB5699" w:rsidP="00EB5699">
      <w:pPr>
        <w:pStyle w:val="Paragraphedeliste"/>
        <w:numPr>
          <w:ilvl w:val="0"/>
          <w:numId w:val="2"/>
        </w:numPr>
        <w:spacing w:after="200" w:line="276" w:lineRule="auto"/>
        <w:jc w:val="both"/>
        <w:rPr>
          <w:rFonts w:ascii="Times New Roman" w:hAnsi="Times New Roman" w:cs="Times New Roman"/>
        </w:rPr>
      </w:pPr>
      <w:r>
        <w:rPr>
          <w:rFonts w:ascii="Times New Roman" w:hAnsi="Times New Roman" w:cs="Times New Roman"/>
          <w:b/>
          <w:bCs/>
        </w:rPr>
        <w:t xml:space="preserve">D’AUTORISER </w:t>
      </w:r>
      <w:r>
        <w:rPr>
          <w:rFonts w:ascii="Times New Roman" w:hAnsi="Times New Roman" w:cs="Times New Roman"/>
        </w:rPr>
        <w:t xml:space="preserve">le Maire, à signer tous les documents et actes s’y afférent ; </w:t>
      </w:r>
    </w:p>
    <w:p w14:paraId="7EE29208" w14:textId="77777777" w:rsidR="00341C02" w:rsidRDefault="00341C02" w:rsidP="00341C02">
      <w:pPr>
        <w:pStyle w:val="Paragraphedeliste"/>
        <w:spacing w:after="200" w:line="276" w:lineRule="auto"/>
        <w:jc w:val="both"/>
        <w:rPr>
          <w:rFonts w:ascii="Times New Roman" w:hAnsi="Times New Roman" w:cs="Times New Roman"/>
          <w:b/>
          <w:bCs/>
        </w:rPr>
      </w:pPr>
    </w:p>
    <w:p w14:paraId="550945F3" w14:textId="77777777" w:rsidR="00341C02" w:rsidRDefault="00341C02" w:rsidP="00341C02">
      <w:pPr>
        <w:pStyle w:val="Paragraphedeliste"/>
        <w:spacing w:after="200" w:line="276" w:lineRule="auto"/>
        <w:jc w:val="both"/>
        <w:rPr>
          <w:rFonts w:ascii="Times New Roman" w:hAnsi="Times New Roman" w:cs="Times New Roman"/>
          <w:b/>
          <w:bCs/>
        </w:rPr>
      </w:pPr>
    </w:p>
    <w:p w14:paraId="5FCD5DA8" w14:textId="77777777" w:rsidR="00341C02" w:rsidRDefault="00341C02" w:rsidP="00341C02">
      <w:pPr>
        <w:pStyle w:val="Paragraphedeliste"/>
        <w:spacing w:after="200" w:line="276" w:lineRule="auto"/>
        <w:ind w:left="0"/>
        <w:jc w:val="both"/>
        <w:rPr>
          <w:rFonts w:ascii="Times New Roman" w:hAnsi="Times New Roman" w:cs="Times New Roman"/>
          <w:bCs/>
        </w:rPr>
      </w:pPr>
      <w:r w:rsidRPr="00C728C3">
        <w:rPr>
          <w:rFonts w:ascii="Times New Roman" w:hAnsi="Times New Roman" w:cs="Times New Roman"/>
          <w:b/>
          <w:bCs/>
          <w:u w:val="single"/>
        </w:rPr>
        <w:t xml:space="preserve">Dotation Cantonale </w:t>
      </w:r>
      <w:r w:rsidR="008D3D53" w:rsidRPr="00C728C3">
        <w:rPr>
          <w:rFonts w:ascii="Times New Roman" w:hAnsi="Times New Roman" w:cs="Times New Roman"/>
          <w:b/>
          <w:bCs/>
          <w:u w:val="single"/>
        </w:rPr>
        <w:t>d’Equipement 2024 (solde</w:t>
      </w:r>
      <w:r w:rsidR="008D3D53">
        <w:rPr>
          <w:rFonts w:ascii="Times New Roman" w:hAnsi="Times New Roman" w:cs="Times New Roman"/>
          <w:b/>
          <w:bCs/>
        </w:rPr>
        <w:t>)</w:t>
      </w:r>
    </w:p>
    <w:p w14:paraId="648EE2D3" w14:textId="77777777" w:rsidR="008D3D53" w:rsidRDefault="008D3D53" w:rsidP="00341C02">
      <w:pPr>
        <w:pStyle w:val="Paragraphedeliste"/>
        <w:spacing w:after="200" w:line="276" w:lineRule="auto"/>
        <w:ind w:left="0"/>
        <w:jc w:val="both"/>
        <w:rPr>
          <w:rFonts w:ascii="Times New Roman" w:hAnsi="Times New Roman" w:cs="Times New Roman"/>
          <w:bCs/>
        </w:rPr>
      </w:pPr>
      <w:r>
        <w:rPr>
          <w:rFonts w:ascii="Times New Roman" w:hAnsi="Times New Roman" w:cs="Times New Roman"/>
          <w:bCs/>
        </w:rPr>
        <w:t>Le Maire demande au Conseil Municipal de se prononcer sur l’affectation du solde de la DCE 2024.</w:t>
      </w:r>
    </w:p>
    <w:p w14:paraId="58A0AEF7" w14:textId="77777777" w:rsidR="008D3D53" w:rsidRDefault="008D3D53" w:rsidP="00341C02">
      <w:pPr>
        <w:pStyle w:val="Paragraphedeliste"/>
        <w:spacing w:after="200" w:line="276" w:lineRule="auto"/>
        <w:ind w:left="0"/>
        <w:jc w:val="both"/>
        <w:rPr>
          <w:rFonts w:ascii="Times New Roman" w:hAnsi="Times New Roman" w:cs="Times New Roman"/>
          <w:bCs/>
        </w:rPr>
      </w:pPr>
      <w:r>
        <w:rPr>
          <w:rFonts w:ascii="Times New Roman" w:hAnsi="Times New Roman" w:cs="Times New Roman"/>
          <w:bCs/>
        </w:rPr>
        <w:t>Après en avoir délibéré, le Conseil Municipal décide à l’unanimité d’affecter le solde de la DCE 2024 sur l’opération suivante :</w:t>
      </w:r>
    </w:p>
    <w:p w14:paraId="27650C4E" w14:textId="70BD1DAA" w:rsidR="008D3D53" w:rsidRPr="000F234F" w:rsidRDefault="008D3D53" w:rsidP="008D3D53">
      <w:pPr>
        <w:pStyle w:val="Paragraphedeliste"/>
        <w:numPr>
          <w:ilvl w:val="0"/>
          <w:numId w:val="2"/>
        </w:numPr>
        <w:spacing w:after="200" w:line="276" w:lineRule="auto"/>
        <w:jc w:val="both"/>
        <w:rPr>
          <w:rFonts w:ascii="Times New Roman" w:hAnsi="Times New Roman" w:cs="Times New Roman"/>
        </w:rPr>
      </w:pPr>
      <w:r>
        <w:rPr>
          <w:rFonts w:ascii="Times New Roman" w:hAnsi="Times New Roman" w:cs="Times New Roman"/>
          <w:bCs/>
        </w:rPr>
        <w:lastRenderedPageBreak/>
        <w:t>Mise en conformité de sécurité incendie des locaux de la mairie,</w:t>
      </w:r>
      <w:r w:rsidR="004420AC">
        <w:rPr>
          <w:rFonts w:ascii="Times New Roman" w:hAnsi="Times New Roman" w:cs="Times New Roman"/>
          <w:bCs/>
        </w:rPr>
        <w:t xml:space="preserve"> de</w:t>
      </w:r>
      <w:r>
        <w:rPr>
          <w:rFonts w:ascii="Times New Roman" w:hAnsi="Times New Roman" w:cs="Times New Roman"/>
          <w:bCs/>
        </w:rPr>
        <w:t xml:space="preserve"> la salle communale et </w:t>
      </w:r>
      <w:r w:rsidR="004420AC">
        <w:rPr>
          <w:rFonts w:ascii="Times New Roman" w:hAnsi="Times New Roman" w:cs="Times New Roman"/>
          <w:bCs/>
        </w:rPr>
        <w:t xml:space="preserve">de </w:t>
      </w:r>
      <w:r>
        <w:rPr>
          <w:rFonts w:ascii="Times New Roman" w:hAnsi="Times New Roman" w:cs="Times New Roman"/>
          <w:bCs/>
        </w:rPr>
        <w:t>l’église</w:t>
      </w:r>
      <w:r w:rsidR="000F234F">
        <w:rPr>
          <w:rFonts w:ascii="Times New Roman" w:hAnsi="Times New Roman" w:cs="Times New Roman"/>
          <w:bCs/>
        </w:rPr>
        <w:t>.</w:t>
      </w:r>
    </w:p>
    <w:p w14:paraId="6A95C641" w14:textId="77777777" w:rsidR="000F234F" w:rsidRDefault="000F234F" w:rsidP="000F234F">
      <w:pPr>
        <w:pStyle w:val="Paragraphedeliste"/>
        <w:spacing w:after="200" w:line="276" w:lineRule="auto"/>
        <w:jc w:val="both"/>
        <w:rPr>
          <w:rFonts w:ascii="Times New Roman" w:hAnsi="Times New Roman" w:cs="Times New Roman"/>
          <w:bCs/>
        </w:rPr>
      </w:pPr>
    </w:p>
    <w:p w14:paraId="0EE3951E" w14:textId="4F4C2D44" w:rsidR="000F234F" w:rsidRPr="00C728C3" w:rsidRDefault="000F234F" w:rsidP="000F234F">
      <w:pPr>
        <w:spacing w:after="200" w:line="276" w:lineRule="auto"/>
        <w:jc w:val="both"/>
        <w:rPr>
          <w:rFonts w:ascii="Times New Roman" w:hAnsi="Times New Roman" w:cs="Times New Roman"/>
          <w:b/>
          <w:bCs/>
          <w:u w:val="single"/>
        </w:rPr>
      </w:pPr>
      <w:r w:rsidRPr="00C728C3">
        <w:rPr>
          <w:rFonts w:ascii="Times New Roman" w:hAnsi="Times New Roman" w:cs="Times New Roman"/>
          <w:b/>
          <w:bCs/>
          <w:u w:val="single"/>
        </w:rPr>
        <w:t>Mise en conformité de sécurité incendie des locaux de la mairie,</w:t>
      </w:r>
      <w:r w:rsidR="004420AC">
        <w:rPr>
          <w:rFonts w:ascii="Times New Roman" w:hAnsi="Times New Roman" w:cs="Times New Roman"/>
          <w:b/>
          <w:bCs/>
          <w:u w:val="single"/>
        </w:rPr>
        <w:t xml:space="preserve"> de</w:t>
      </w:r>
      <w:r w:rsidRPr="00C728C3">
        <w:rPr>
          <w:rFonts w:ascii="Times New Roman" w:hAnsi="Times New Roman" w:cs="Times New Roman"/>
          <w:b/>
          <w:bCs/>
          <w:u w:val="single"/>
        </w:rPr>
        <w:t xml:space="preserve"> la salle communale et</w:t>
      </w:r>
      <w:r w:rsidR="004420AC">
        <w:rPr>
          <w:rFonts w:ascii="Times New Roman" w:hAnsi="Times New Roman" w:cs="Times New Roman"/>
          <w:b/>
          <w:bCs/>
          <w:u w:val="single"/>
        </w:rPr>
        <w:t xml:space="preserve"> de</w:t>
      </w:r>
      <w:r w:rsidRPr="00C728C3">
        <w:rPr>
          <w:rFonts w:ascii="Times New Roman" w:hAnsi="Times New Roman" w:cs="Times New Roman"/>
          <w:b/>
          <w:bCs/>
          <w:u w:val="single"/>
        </w:rPr>
        <w:t xml:space="preserve"> l’église.</w:t>
      </w:r>
    </w:p>
    <w:p w14:paraId="4BDC49C8" w14:textId="5F7F171F" w:rsidR="000F234F" w:rsidRPr="000F234F" w:rsidRDefault="000F234F" w:rsidP="000F234F">
      <w:pPr>
        <w:spacing w:after="200" w:line="276" w:lineRule="auto"/>
        <w:jc w:val="both"/>
        <w:rPr>
          <w:rFonts w:ascii="Times New Roman" w:hAnsi="Times New Roman" w:cs="Times New Roman"/>
        </w:rPr>
      </w:pPr>
      <w:r w:rsidRPr="000F234F">
        <w:rPr>
          <w:rFonts w:ascii="Times New Roman" w:hAnsi="Times New Roman" w:cs="Times New Roman"/>
          <w:bCs/>
        </w:rPr>
        <w:t xml:space="preserve">Le Maire présente le devis des Ets Eovis pour la Mise en conformité de sécurité incendie des locaux de la mairie, </w:t>
      </w:r>
      <w:r w:rsidR="004420AC">
        <w:rPr>
          <w:rFonts w:ascii="Times New Roman" w:hAnsi="Times New Roman" w:cs="Times New Roman"/>
          <w:bCs/>
        </w:rPr>
        <w:t xml:space="preserve">de </w:t>
      </w:r>
      <w:r w:rsidRPr="000F234F">
        <w:rPr>
          <w:rFonts w:ascii="Times New Roman" w:hAnsi="Times New Roman" w:cs="Times New Roman"/>
          <w:bCs/>
        </w:rPr>
        <w:t>la salle communale et</w:t>
      </w:r>
      <w:r w:rsidR="004420AC">
        <w:rPr>
          <w:rFonts w:ascii="Times New Roman" w:hAnsi="Times New Roman" w:cs="Times New Roman"/>
          <w:bCs/>
        </w:rPr>
        <w:t xml:space="preserve"> de</w:t>
      </w:r>
      <w:r w:rsidRPr="000F234F">
        <w:rPr>
          <w:rFonts w:ascii="Times New Roman" w:hAnsi="Times New Roman" w:cs="Times New Roman"/>
          <w:bCs/>
        </w:rPr>
        <w:t xml:space="preserve"> l’église d’un montant de 848.88 €</w:t>
      </w:r>
    </w:p>
    <w:p w14:paraId="5D076C19" w14:textId="77777777" w:rsidR="000F234F" w:rsidRPr="000F234F" w:rsidRDefault="000F234F" w:rsidP="000F234F">
      <w:pPr>
        <w:spacing w:after="200" w:line="276" w:lineRule="auto"/>
        <w:jc w:val="both"/>
        <w:rPr>
          <w:rFonts w:ascii="Times New Roman" w:hAnsi="Times New Roman" w:cs="Times New Roman"/>
        </w:rPr>
      </w:pPr>
      <w:r w:rsidRPr="000F234F">
        <w:rPr>
          <w:rFonts w:ascii="Times New Roman" w:hAnsi="Times New Roman" w:cs="Times New Roman"/>
          <w:bCs/>
        </w:rPr>
        <w:t>Après en avoir délibéré, le Conseil Municipal décide à l’unanimité de valider ce devis et charge le Maire de signer tout document relatif à ce dossier.</w:t>
      </w:r>
    </w:p>
    <w:p w14:paraId="00CAF140" w14:textId="77777777" w:rsidR="000F234F" w:rsidRPr="004D3B6B" w:rsidRDefault="00760CBB" w:rsidP="000F234F">
      <w:pPr>
        <w:spacing w:after="200" w:line="276" w:lineRule="auto"/>
        <w:jc w:val="both"/>
        <w:rPr>
          <w:rFonts w:ascii="Times New Roman" w:hAnsi="Times New Roman" w:cs="Times New Roman"/>
          <w:b/>
          <w:bCs/>
          <w:u w:val="single"/>
        </w:rPr>
      </w:pPr>
      <w:r w:rsidRPr="004D3B6B">
        <w:rPr>
          <w:rFonts w:ascii="Times New Roman" w:hAnsi="Times New Roman" w:cs="Times New Roman"/>
          <w:b/>
          <w:u w:val="single"/>
        </w:rPr>
        <w:t xml:space="preserve">Décision modificative n°2 </w:t>
      </w:r>
      <w:r w:rsidRPr="004D3B6B">
        <w:rPr>
          <w:rFonts w:ascii="Times New Roman" w:hAnsi="Times New Roman" w:cs="Times New Roman"/>
          <w:b/>
          <w:bCs/>
          <w:u w:val="single"/>
        </w:rPr>
        <w:t>Mise en conformité de sécurité incendie des locaux de la mairie, la salle communale et l’église.</w:t>
      </w:r>
    </w:p>
    <w:p w14:paraId="0495C286" w14:textId="77777777" w:rsidR="00760CBB" w:rsidRDefault="00760CBB" w:rsidP="000F234F">
      <w:pPr>
        <w:spacing w:after="200" w:line="276" w:lineRule="auto"/>
        <w:jc w:val="both"/>
        <w:rPr>
          <w:rFonts w:ascii="Times New Roman" w:hAnsi="Times New Roman" w:cs="Times New Roman"/>
          <w:bCs/>
        </w:rPr>
      </w:pPr>
      <w:r>
        <w:rPr>
          <w:rFonts w:ascii="Times New Roman" w:hAnsi="Times New Roman" w:cs="Times New Roman"/>
          <w:bCs/>
        </w:rPr>
        <w:t>Le Maire demande au Conseil Municipal d’ouvrir les crédits nécessaires pour la prise en charge du devis de mise en conformité de sécurité incendie des bâtiments de la commune.</w:t>
      </w:r>
    </w:p>
    <w:p w14:paraId="005450D9" w14:textId="77777777" w:rsidR="00760CBB" w:rsidRDefault="00760CBB" w:rsidP="000F234F">
      <w:pPr>
        <w:spacing w:after="200" w:line="276" w:lineRule="auto"/>
        <w:jc w:val="both"/>
        <w:rPr>
          <w:rFonts w:ascii="Times New Roman" w:hAnsi="Times New Roman" w:cs="Times New Roman"/>
          <w:bCs/>
        </w:rPr>
      </w:pPr>
      <w:r>
        <w:rPr>
          <w:rFonts w:ascii="Times New Roman" w:hAnsi="Times New Roman" w:cs="Times New Roman"/>
          <w:bCs/>
        </w:rPr>
        <w:t>Après en avoir délibéré, le Conseil Municipal décide à l’unanimité de valider la décision modificative suivante :</w:t>
      </w:r>
    </w:p>
    <w:p w14:paraId="3DAE3C5A" w14:textId="77777777" w:rsidR="00760CBB" w:rsidRPr="00760CBB" w:rsidRDefault="00760CBB" w:rsidP="00A715C0">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both"/>
        <w:rPr>
          <w:rFonts w:ascii="Times New Roman" w:hAnsi="Times New Roman" w:cs="Times New Roman"/>
        </w:rPr>
      </w:pPr>
      <w:r>
        <w:rPr>
          <w:rFonts w:ascii="Times New Roman" w:hAnsi="Times New Roman" w:cs="Times New Roman"/>
          <w:bCs/>
        </w:rPr>
        <w:t>Fonctionnement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Investissement</w:t>
      </w:r>
    </w:p>
    <w:p w14:paraId="604E2702" w14:textId="77777777" w:rsidR="004D3B6B" w:rsidRDefault="00760CBB" w:rsidP="00A715C0">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ind w:left="0"/>
        <w:jc w:val="both"/>
        <w:rPr>
          <w:rFonts w:ascii="Times New Roman" w:hAnsi="Times New Roman" w:cs="Times New Roman"/>
        </w:rPr>
      </w:pPr>
      <w:r>
        <w:rPr>
          <w:rFonts w:ascii="Times New Roman" w:hAnsi="Times New Roman" w:cs="Times New Roman"/>
        </w:rPr>
        <w:t>D</w:t>
      </w:r>
      <w:r w:rsidR="004D3B6B">
        <w:rPr>
          <w:rFonts w:ascii="Times New Roman" w:hAnsi="Times New Roman" w:cs="Times New Roman"/>
        </w:rPr>
        <w:t xml:space="preserve"> </w:t>
      </w:r>
      <w:r>
        <w:rPr>
          <w:rFonts w:ascii="Times New Roman" w:hAnsi="Times New Roman" w:cs="Times New Roman"/>
        </w:rPr>
        <w:t xml:space="preserve">615221 </w:t>
      </w:r>
      <w:r>
        <w:rPr>
          <w:rFonts w:ascii="Times New Roman" w:hAnsi="Times New Roman" w:cs="Times New Roman"/>
        </w:rPr>
        <w:tab/>
      </w:r>
      <w:r>
        <w:rPr>
          <w:rFonts w:ascii="Times New Roman" w:hAnsi="Times New Roman" w:cs="Times New Roman"/>
        </w:rPr>
        <w:tab/>
        <w:t>-850.00</w:t>
      </w:r>
      <w:r w:rsidR="004D3B6B">
        <w:rPr>
          <w:rFonts w:ascii="Times New Roman" w:hAnsi="Times New Roman" w:cs="Times New Roman"/>
        </w:rPr>
        <w:t xml:space="preserve"> </w:t>
      </w:r>
      <w:r w:rsidR="004D3B6B">
        <w:rPr>
          <w:rFonts w:ascii="Times New Roman" w:hAnsi="Times New Roman" w:cs="Times New Roman"/>
        </w:rPr>
        <w:tab/>
      </w:r>
      <w:r w:rsidR="004D3B6B">
        <w:rPr>
          <w:rFonts w:ascii="Times New Roman" w:hAnsi="Times New Roman" w:cs="Times New Roman"/>
        </w:rPr>
        <w:tab/>
      </w:r>
      <w:r w:rsidR="004D3B6B">
        <w:rPr>
          <w:rFonts w:ascii="Times New Roman" w:hAnsi="Times New Roman" w:cs="Times New Roman"/>
        </w:rPr>
        <w:tab/>
      </w:r>
      <w:r w:rsidR="004D3B6B">
        <w:rPr>
          <w:rFonts w:ascii="Times New Roman" w:hAnsi="Times New Roman" w:cs="Times New Roman"/>
        </w:rPr>
        <w:tab/>
        <w:t>R 021</w:t>
      </w:r>
      <w:r w:rsidR="004D3B6B">
        <w:rPr>
          <w:rFonts w:ascii="Times New Roman" w:hAnsi="Times New Roman" w:cs="Times New Roman"/>
        </w:rPr>
        <w:tab/>
      </w:r>
      <w:r w:rsidR="004D3B6B">
        <w:rPr>
          <w:rFonts w:ascii="Times New Roman" w:hAnsi="Times New Roman" w:cs="Times New Roman"/>
        </w:rPr>
        <w:tab/>
        <w:t>850.00</w:t>
      </w:r>
    </w:p>
    <w:p w14:paraId="313B541D" w14:textId="741F9E62" w:rsidR="004A3EA1" w:rsidRDefault="00510BDA" w:rsidP="00A715C0">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ind w:left="0"/>
        <w:jc w:val="both"/>
        <w:rPr>
          <w:rFonts w:ascii="Times New Roman" w:hAnsi="Times New Roman" w:cs="Times New Roman"/>
        </w:rPr>
      </w:pPr>
      <w:r>
        <w:rPr>
          <w:rFonts w:ascii="Times New Roman" w:hAnsi="Times New Roman" w:cs="Times New Roman"/>
        </w:rPr>
        <w:t>D</w:t>
      </w:r>
      <w:r w:rsidR="004D3B6B">
        <w:rPr>
          <w:rFonts w:ascii="Times New Roman" w:hAnsi="Times New Roman" w:cs="Times New Roman"/>
        </w:rPr>
        <w:t xml:space="preserve"> 023                           850.00</w:t>
      </w:r>
      <w:r w:rsidR="004D3B6B">
        <w:rPr>
          <w:rFonts w:ascii="Times New Roman" w:hAnsi="Times New Roman" w:cs="Times New Roman"/>
        </w:rPr>
        <w:tab/>
      </w:r>
      <w:r w:rsidR="004D3B6B">
        <w:rPr>
          <w:rFonts w:ascii="Times New Roman" w:hAnsi="Times New Roman" w:cs="Times New Roman"/>
        </w:rPr>
        <w:tab/>
      </w:r>
      <w:r w:rsidR="004D3B6B">
        <w:rPr>
          <w:rFonts w:ascii="Times New Roman" w:hAnsi="Times New Roman" w:cs="Times New Roman"/>
        </w:rPr>
        <w:tab/>
      </w:r>
      <w:r w:rsidR="004D3B6B">
        <w:rPr>
          <w:rFonts w:ascii="Times New Roman" w:hAnsi="Times New Roman" w:cs="Times New Roman"/>
        </w:rPr>
        <w:tab/>
        <w:t>D 2181            850.00</w:t>
      </w:r>
    </w:p>
    <w:p w14:paraId="4C16B4F3" w14:textId="77777777" w:rsidR="00C728C3" w:rsidRDefault="00C728C3" w:rsidP="00761FD9">
      <w:pPr>
        <w:pStyle w:val="Paragraphedeliste"/>
        <w:spacing w:after="200" w:line="276" w:lineRule="auto"/>
        <w:ind w:left="0"/>
        <w:jc w:val="both"/>
        <w:rPr>
          <w:rFonts w:ascii="Times New Roman" w:hAnsi="Times New Roman" w:cs="Times New Roman"/>
        </w:rPr>
      </w:pPr>
    </w:p>
    <w:p w14:paraId="1E28B502" w14:textId="5CE3B2BD" w:rsidR="00C728C3" w:rsidRDefault="004420AC" w:rsidP="00761FD9">
      <w:pPr>
        <w:pStyle w:val="Paragraphedeliste"/>
        <w:spacing w:after="200" w:line="276" w:lineRule="auto"/>
        <w:ind w:left="0"/>
        <w:jc w:val="both"/>
        <w:rPr>
          <w:rFonts w:ascii="Times New Roman" w:hAnsi="Times New Roman" w:cs="Times New Roman"/>
        </w:rPr>
      </w:pPr>
      <w:r w:rsidRPr="004420AC">
        <w:rPr>
          <w:rFonts w:ascii="Times New Roman" w:hAnsi="Times New Roman" w:cs="Times New Roman"/>
        </w:rPr>
        <w:t>Il charge le Maire de signer tout document relatif à ce dossier.</w:t>
      </w:r>
    </w:p>
    <w:p w14:paraId="068276F1" w14:textId="77777777" w:rsidR="004420AC" w:rsidRDefault="004420AC" w:rsidP="00761FD9">
      <w:pPr>
        <w:pStyle w:val="Paragraphedeliste"/>
        <w:spacing w:after="200" w:line="276" w:lineRule="auto"/>
        <w:ind w:left="0"/>
        <w:jc w:val="both"/>
        <w:rPr>
          <w:rFonts w:ascii="Times New Roman" w:hAnsi="Times New Roman" w:cs="Times New Roman"/>
        </w:rPr>
      </w:pPr>
    </w:p>
    <w:p w14:paraId="31C6F7F1" w14:textId="7B0C11E0" w:rsidR="004420AC" w:rsidRPr="00510BDA" w:rsidRDefault="004420AC" w:rsidP="00761FD9">
      <w:pPr>
        <w:pStyle w:val="Paragraphedeliste"/>
        <w:spacing w:after="200" w:line="276" w:lineRule="auto"/>
        <w:ind w:left="0"/>
        <w:jc w:val="both"/>
        <w:rPr>
          <w:rFonts w:ascii="Times New Roman" w:hAnsi="Times New Roman" w:cs="Times New Roman"/>
          <w:b/>
          <w:u w:val="single"/>
        </w:rPr>
      </w:pPr>
      <w:r w:rsidRPr="00510BDA">
        <w:rPr>
          <w:rFonts w:ascii="Times New Roman" w:hAnsi="Times New Roman" w:cs="Times New Roman"/>
          <w:b/>
          <w:u w:val="single"/>
        </w:rPr>
        <w:t>Plan Communal de Sauvegarde</w:t>
      </w:r>
    </w:p>
    <w:p w14:paraId="1888C64B" w14:textId="7B6DA53B" w:rsidR="004420AC" w:rsidRDefault="004420AC" w:rsidP="00761FD9">
      <w:pPr>
        <w:pStyle w:val="Paragraphedeliste"/>
        <w:spacing w:after="200" w:line="276" w:lineRule="auto"/>
        <w:ind w:left="0"/>
        <w:jc w:val="both"/>
        <w:rPr>
          <w:rFonts w:ascii="Times New Roman" w:hAnsi="Times New Roman" w:cs="Times New Roman"/>
        </w:rPr>
      </w:pPr>
      <w:r>
        <w:rPr>
          <w:rFonts w:ascii="Times New Roman" w:hAnsi="Times New Roman" w:cs="Times New Roman"/>
        </w:rPr>
        <w:t>Chaque Conseiller a pu prendre connaissance du projet du PCS. Le Maire demande au Conseil de se prononcer sur celui-ci.</w:t>
      </w:r>
    </w:p>
    <w:p w14:paraId="26DD4747" w14:textId="4220B1A9" w:rsidR="004420AC" w:rsidRDefault="004420AC" w:rsidP="00761FD9">
      <w:pPr>
        <w:pStyle w:val="Paragraphedeliste"/>
        <w:spacing w:after="200" w:line="276" w:lineRule="auto"/>
        <w:ind w:left="0"/>
        <w:jc w:val="both"/>
        <w:rPr>
          <w:rFonts w:ascii="Times New Roman" w:hAnsi="Times New Roman" w:cs="Times New Roman"/>
        </w:rPr>
      </w:pPr>
      <w:r>
        <w:rPr>
          <w:rFonts w:ascii="Times New Roman" w:hAnsi="Times New Roman" w:cs="Times New Roman"/>
        </w:rPr>
        <w:t>Après en avoir délibéré, le Conseil Municipal décide à l’unanimité de valider le Plan Communal de Sauvegarde (ci-annexé).</w:t>
      </w:r>
    </w:p>
    <w:p w14:paraId="17EAEDE5" w14:textId="77777777" w:rsidR="00A715C0" w:rsidRPr="009060E0" w:rsidRDefault="00A715C0"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sz w:val="16"/>
          <w:szCs w:val="16"/>
        </w:rPr>
      </w:pPr>
    </w:p>
    <w:p w14:paraId="2AB52862" w14:textId="77777777" w:rsidR="00A715C0" w:rsidRPr="00510BDA" w:rsidRDefault="00A715C0"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b/>
          <w:i/>
          <w:u w:val="single"/>
        </w:rPr>
      </w:pPr>
      <w:bookmarkStart w:id="1" w:name="_GoBack"/>
      <w:r w:rsidRPr="00510BDA">
        <w:rPr>
          <w:rFonts w:ascii="Calibri" w:hAnsi="Calibri" w:cs="Calibri"/>
          <w:b/>
          <w:i/>
          <w:u w:val="single"/>
        </w:rPr>
        <w:t>Questions diverses</w:t>
      </w:r>
      <w:bookmarkEnd w:id="1"/>
    </w:p>
    <w:p w14:paraId="5505D424" w14:textId="4DAC5A28" w:rsidR="004420AC" w:rsidRPr="00C728C3" w:rsidRDefault="004420AC" w:rsidP="009060E0">
      <w:pPr>
        <w:pStyle w:val="ox-67c4ae8986-msolistparagraph"/>
        <w:spacing w:after="0" w:afterAutospacing="0"/>
        <w:rPr>
          <w:b/>
          <w:u w:val="single"/>
        </w:rPr>
      </w:pPr>
      <w:r w:rsidRPr="00C728C3">
        <w:rPr>
          <w:b/>
          <w:u w:val="single"/>
        </w:rPr>
        <w:t xml:space="preserve">SIAEPA </w:t>
      </w:r>
      <w:proofErr w:type="spellStart"/>
      <w:r w:rsidRPr="00C728C3">
        <w:rPr>
          <w:b/>
          <w:u w:val="single"/>
        </w:rPr>
        <w:t>Luthenay</w:t>
      </w:r>
      <w:proofErr w:type="spellEnd"/>
      <w:r w:rsidRPr="00C728C3">
        <w:rPr>
          <w:b/>
          <w:u w:val="single"/>
        </w:rPr>
        <w:t>/Fleury/Avril - Rapport sur le prix et la qualité du service de l’eau potable – année 2024.</w:t>
      </w:r>
    </w:p>
    <w:p w14:paraId="02DB084E" w14:textId="3860A406" w:rsidR="00A715C0" w:rsidRDefault="004420AC" w:rsidP="004420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pPr>
      <w:r>
        <w:t xml:space="preserve">Le Maire soumet </w:t>
      </w:r>
      <w:r w:rsidR="00D42B6C">
        <w:t xml:space="preserve">pour information </w:t>
      </w:r>
      <w:r>
        <w:t xml:space="preserve">les différents documents transmis par le SIAEPA </w:t>
      </w:r>
      <w:proofErr w:type="gramStart"/>
      <w:r>
        <w:t>(</w:t>
      </w:r>
      <w:r>
        <w:rPr>
          <w:sz w:val="14"/>
          <w:szCs w:val="14"/>
        </w:rPr>
        <w:t xml:space="preserve"> </w:t>
      </w:r>
      <w:r>
        <w:t>L’</w:t>
      </w:r>
      <w:proofErr w:type="spellStart"/>
      <w:r>
        <w:t>INFeau</w:t>
      </w:r>
      <w:proofErr w:type="spellEnd"/>
      <w:proofErr w:type="gramEnd"/>
      <w:r>
        <w:t xml:space="preserve"> 2024,</w:t>
      </w:r>
      <w:r>
        <w:rPr>
          <w:sz w:val="14"/>
          <w:szCs w:val="14"/>
        </w:rPr>
        <w:t xml:space="preserve">  </w:t>
      </w:r>
      <w:r>
        <w:t>Note d’information de l’Agence de l’Eau Loire Bretagne,</w:t>
      </w:r>
      <w:r>
        <w:rPr>
          <w:sz w:val="14"/>
          <w:szCs w:val="14"/>
        </w:rPr>
        <w:t xml:space="preserve">  </w:t>
      </w:r>
      <w:r>
        <w:t>Rapport sur le prix et la qualité du service assainissement – année 2024,</w:t>
      </w:r>
      <w:r>
        <w:rPr>
          <w:sz w:val="14"/>
          <w:szCs w:val="14"/>
        </w:rPr>
        <w:t xml:space="preserve"> </w:t>
      </w:r>
      <w:r>
        <w:t>L’INFO assainissement 2024,</w:t>
      </w:r>
      <w:r>
        <w:rPr>
          <w:sz w:val="14"/>
          <w:szCs w:val="14"/>
        </w:rPr>
        <w:t xml:space="preserve">  </w:t>
      </w:r>
      <w:r>
        <w:t xml:space="preserve">Rapport sur le prix et la qualité du service assainissement non collectif – année 2024 et délibération du SIAEPA,). </w:t>
      </w:r>
    </w:p>
    <w:p w14:paraId="704ACEF6" w14:textId="77777777" w:rsidR="00D42B6C" w:rsidRPr="009060E0" w:rsidRDefault="00D42B6C" w:rsidP="004420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sz w:val="16"/>
          <w:szCs w:val="16"/>
        </w:rPr>
      </w:pPr>
    </w:p>
    <w:p w14:paraId="27DA3D81" w14:textId="77777777" w:rsidR="00A715C0" w:rsidRPr="00D42B6C" w:rsidRDefault="00A715C0"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b/>
          <w:bCs/>
          <w:u w:val="single"/>
        </w:rPr>
      </w:pPr>
      <w:r w:rsidRPr="00D42B6C">
        <w:rPr>
          <w:rFonts w:ascii="Calibri" w:hAnsi="Calibri" w:cs="Calibri"/>
          <w:b/>
          <w:bCs/>
          <w:u w:val="single"/>
        </w:rPr>
        <w:t>Colis des aînés</w:t>
      </w:r>
    </w:p>
    <w:p w14:paraId="7ABFEFB2" w14:textId="74A4F707" w:rsidR="00D42B6C" w:rsidRDefault="00D42B6C"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rPr>
      </w:pPr>
      <w:r>
        <w:rPr>
          <w:rFonts w:ascii="Calibri" w:hAnsi="Calibri" w:cs="Calibri"/>
        </w:rPr>
        <w:t>Le Conseil Souhaite reconduire c</w:t>
      </w:r>
      <w:r w:rsidR="00510BDA">
        <w:rPr>
          <w:rFonts w:ascii="Calibri" w:hAnsi="Calibri" w:cs="Calibri"/>
        </w:rPr>
        <w:t>omme en 2024 le colis pour les A</w:t>
      </w:r>
      <w:r>
        <w:rPr>
          <w:rFonts w:ascii="Calibri" w:hAnsi="Calibri" w:cs="Calibri"/>
        </w:rPr>
        <w:t>înés.</w:t>
      </w:r>
    </w:p>
    <w:p w14:paraId="4CB1525E" w14:textId="77777777" w:rsidR="00D42B6C" w:rsidRPr="009060E0" w:rsidRDefault="00D42B6C"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sz w:val="16"/>
          <w:szCs w:val="16"/>
        </w:rPr>
      </w:pPr>
    </w:p>
    <w:p w14:paraId="0C93069D" w14:textId="77777777" w:rsidR="00D42B6C" w:rsidRPr="00D42B6C" w:rsidRDefault="00A715C0"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b/>
          <w:bCs/>
          <w:u w:val="single"/>
        </w:rPr>
      </w:pPr>
      <w:r w:rsidRPr="00D42B6C">
        <w:rPr>
          <w:rFonts w:ascii="Calibri" w:hAnsi="Calibri" w:cs="Calibri"/>
          <w:b/>
          <w:bCs/>
          <w:u w:val="single"/>
        </w:rPr>
        <w:t xml:space="preserve">Voeux 2026 </w:t>
      </w:r>
    </w:p>
    <w:p w14:paraId="7A7634EF" w14:textId="7B148D0D" w:rsidR="00A715C0" w:rsidRDefault="00D42B6C"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rPr>
      </w:pPr>
      <w:r>
        <w:rPr>
          <w:rFonts w:ascii="Calibri" w:hAnsi="Calibri" w:cs="Calibri"/>
        </w:rPr>
        <w:t xml:space="preserve">La cérémonie des vœux aura lieu le vendredi </w:t>
      </w:r>
      <w:r w:rsidR="00A715C0">
        <w:rPr>
          <w:rFonts w:ascii="Calibri" w:hAnsi="Calibri" w:cs="Calibri"/>
        </w:rPr>
        <w:t>16 janvier 2026 à 18h30</w:t>
      </w:r>
    </w:p>
    <w:p w14:paraId="26399DB7" w14:textId="77777777" w:rsidR="00D42B6C" w:rsidRPr="009060E0" w:rsidRDefault="00D42B6C"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sz w:val="16"/>
          <w:szCs w:val="16"/>
        </w:rPr>
      </w:pPr>
    </w:p>
    <w:p w14:paraId="23D9B913" w14:textId="5812127D" w:rsidR="00A715C0" w:rsidRPr="00D42B6C" w:rsidRDefault="00A715C0" w:rsidP="00C728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b/>
          <w:bCs/>
          <w:u w:val="single"/>
        </w:rPr>
      </w:pPr>
      <w:r w:rsidRPr="00D42B6C">
        <w:rPr>
          <w:rFonts w:ascii="Calibri" w:hAnsi="Calibri" w:cs="Calibri"/>
          <w:b/>
          <w:bCs/>
          <w:u w:val="single"/>
        </w:rPr>
        <w:t xml:space="preserve">Lettre </w:t>
      </w:r>
      <w:r w:rsidR="00D42B6C" w:rsidRPr="00D42B6C">
        <w:rPr>
          <w:rFonts w:ascii="Calibri" w:hAnsi="Calibri" w:cs="Calibri"/>
          <w:b/>
          <w:bCs/>
          <w:u w:val="single"/>
        </w:rPr>
        <w:t>de mise en demeure d’un locataire</w:t>
      </w:r>
    </w:p>
    <w:p w14:paraId="729DD84E" w14:textId="13229B05" w:rsidR="004A3EA1" w:rsidRDefault="00D42B6C" w:rsidP="00A71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rPr>
          <w:rFonts w:ascii="Calibri" w:hAnsi="Calibri" w:cs="Calibri"/>
        </w:rPr>
      </w:pPr>
      <w:r>
        <w:rPr>
          <w:rFonts w:ascii="Calibri" w:hAnsi="Calibri" w:cs="Calibri"/>
        </w:rPr>
        <w:t>Le Conseil Municipal prend connaissance de la lettre de mise en demeure de son locataire.</w:t>
      </w:r>
    </w:p>
    <w:p w14:paraId="6E95312C" w14:textId="38908097" w:rsidR="00E808E7" w:rsidRDefault="00D42B6C" w:rsidP="009060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7" w:lineRule="auto"/>
        <w:jc w:val="both"/>
      </w:pPr>
      <w:r>
        <w:rPr>
          <w:rFonts w:ascii="Calibri" w:hAnsi="Calibri" w:cs="Calibri"/>
        </w:rPr>
        <w:t>Il charge le Maire de lui envoyer une lettre recommandée afin de la rencontrer.</w:t>
      </w:r>
    </w:p>
    <w:sectPr w:rsidR="00E808E7" w:rsidSect="00C728C3">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75EE"/>
    <w:multiLevelType w:val="hybridMultilevel"/>
    <w:tmpl w:val="BF8CCFB0"/>
    <w:lvl w:ilvl="0" w:tplc="B7560B2A">
      <w:numFmt w:val="bullet"/>
      <w:lvlText w:val="-"/>
      <w:lvlJc w:val="left"/>
      <w:pPr>
        <w:ind w:left="720" w:hanging="360"/>
      </w:pPr>
      <w:rPr>
        <w:rFonts w:ascii="Calibri" w:eastAsiaTheme="minorHAns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7BE5176"/>
    <w:multiLevelType w:val="hybridMultilevel"/>
    <w:tmpl w:val="18EC8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45"/>
    <w:rsid w:val="000F234F"/>
    <w:rsid w:val="001F3590"/>
    <w:rsid w:val="002638FD"/>
    <w:rsid w:val="00296278"/>
    <w:rsid w:val="00341C02"/>
    <w:rsid w:val="004420AC"/>
    <w:rsid w:val="004A3EA1"/>
    <w:rsid w:val="004D3B6B"/>
    <w:rsid w:val="00510BDA"/>
    <w:rsid w:val="00760CBB"/>
    <w:rsid w:val="00761FD9"/>
    <w:rsid w:val="008D3D53"/>
    <w:rsid w:val="009060E0"/>
    <w:rsid w:val="00A715C0"/>
    <w:rsid w:val="00C37DC0"/>
    <w:rsid w:val="00C52581"/>
    <w:rsid w:val="00C728C3"/>
    <w:rsid w:val="00D42B6C"/>
    <w:rsid w:val="00E67689"/>
    <w:rsid w:val="00E808E7"/>
    <w:rsid w:val="00EB5699"/>
    <w:rsid w:val="00EE2345"/>
    <w:rsid w:val="00F82D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C883"/>
  <w15:chartTrackingRefBased/>
  <w15:docId w15:val="{E30C14C1-4FEB-49AB-842F-7D8D4A4C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EB5699"/>
    <w:pPr>
      <w:spacing w:before="100" w:beforeAutospacing="1" w:after="100" w:afterAutospacing="1" w:line="240" w:lineRule="auto"/>
      <w:outlineLvl w:val="1"/>
    </w:pPr>
    <w:rPr>
      <w:rFonts w:ascii="Times New Roman" w:eastAsiaTheme="minorEastAsia" w:hAnsi="Times New Roman" w:cs="Times New Roman"/>
      <w:b/>
      <w:bCs/>
      <w:sz w:val="36"/>
      <w:szCs w:val="36"/>
      <w:lang w:eastAsia="fr-FR"/>
    </w:rPr>
  </w:style>
  <w:style w:type="paragraph" w:styleId="Titre5">
    <w:name w:val="heading 5"/>
    <w:basedOn w:val="Normal"/>
    <w:next w:val="Normal"/>
    <w:link w:val="Titre5Car"/>
    <w:uiPriority w:val="9"/>
    <w:semiHidden/>
    <w:unhideWhenUsed/>
    <w:qFormat/>
    <w:rsid w:val="00EB5699"/>
    <w:pPr>
      <w:keepNext/>
      <w:keepLines/>
      <w:spacing w:before="40" w:after="0" w:line="240" w:lineRule="auto"/>
      <w:outlineLvl w:val="4"/>
    </w:pPr>
    <w:rPr>
      <w:rFonts w:asciiTheme="majorHAnsi" w:eastAsiaTheme="majorEastAsia" w:hAnsiTheme="majorHAnsi" w:cstheme="majorBidi"/>
      <w:color w:val="2E74B5" w:themeColor="accent1" w:themeShade="BF"/>
      <w:sz w:val="15"/>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uiPriority w:val="99"/>
    <w:rsid w:val="00E808E7"/>
    <w:pPr>
      <w:widowControl w:val="0"/>
      <w:autoSpaceDE w:val="0"/>
      <w:autoSpaceDN w:val="0"/>
      <w:adjustRightInd w:val="0"/>
      <w:spacing w:after="0" w:line="240" w:lineRule="auto"/>
    </w:pPr>
    <w:rPr>
      <w:rFonts w:ascii="Arial" w:hAnsi="Arial" w:cs="Arial"/>
      <w:sz w:val="24"/>
      <w:szCs w:val="24"/>
    </w:rPr>
  </w:style>
  <w:style w:type="table" w:styleId="Grilledutableau">
    <w:name w:val="Table Grid"/>
    <w:basedOn w:val="TableauNormal"/>
    <w:uiPriority w:val="39"/>
    <w:rsid w:val="00E8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3EA1"/>
    <w:pPr>
      <w:spacing w:line="278" w:lineRule="auto"/>
      <w:ind w:left="720"/>
      <w:contextualSpacing/>
    </w:pPr>
    <w:rPr>
      <w:kern w:val="2"/>
      <w:sz w:val="24"/>
      <w:szCs w:val="24"/>
      <w14:ligatures w14:val="standardContextual"/>
    </w:rPr>
  </w:style>
  <w:style w:type="character" w:customStyle="1" w:styleId="Titre2Car">
    <w:name w:val="Titre 2 Car"/>
    <w:basedOn w:val="Policepardfaut"/>
    <w:link w:val="Titre2"/>
    <w:uiPriority w:val="9"/>
    <w:rsid w:val="00EB5699"/>
    <w:rPr>
      <w:rFonts w:ascii="Times New Roman" w:eastAsiaTheme="minorEastAsia" w:hAnsi="Times New Roman" w:cs="Times New Roman"/>
      <w:b/>
      <w:bCs/>
      <w:sz w:val="36"/>
      <w:szCs w:val="36"/>
      <w:lang w:eastAsia="fr-FR"/>
    </w:rPr>
  </w:style>
  <w:style w:type="character" w:customStyle="1" w:styleId="Titre5Car">
    <w:name w:val="Titre 5 Car"/>
    <w:basedOn w:val="Policepardfaut"/>
    <w:link w:val="Titre5"/>
    <w:uiPriority w:val="9"/>
    <w:semiHidden/>
    <w:rsid w:val="00EB5699"/>
    <w:rPr>
      <w:rFonts w:asciiTheme="majorHAnsi" w:eastAsiaTheme="majorEastAsia" w:hAnsiTheme="majorHAnsi" w:cstheme="majorBidi"/>
      <w:color w:val="2E74B5" w:themeColor="accent1" w:themeShade="BF"/>
      <w:sz w:val="15"/>
      <w:szCs w:val="16"/>
      <w:lang w:eastAsia="fr-FR"/>
    </w:rPr>
  </w:style>
  <w:style w:type="paragraph" w:styleId="NormalWeb">
    <w:name w:val="Normal (Web)"/>
    <w:basedOn w:val="Normal"/>
    <w:uiPriority w:val="99"/>
    <w:semiHidden/>
    <w:unhideWhenUsed/>
    <w:rsid w:val="00EB5699"/>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Corpsdetexte">
    <w:name w:val="Body Text"/>
    <w:basedOn w:val="Normal"/>
    <w:link w:val="CorpsdetexteCar"/>
    <w:uiPriority w:val="99"/>
    <w:semiHidden/>
    <w:unhideWhenUsed/>
    <w:qFormat/>
    <w:rsid w:val="00EB5699"/>
    <w:pPr>
      <w:spacing w:after="120" w:line="256" w:lineRule="auto"/>
    </w:pPr>
    <w:rPr>
      <w:rFonts w:ascii="Calibri" w:eastAsia="Calibri" w:hAnsi="Calibri" w:cs="Times New Roman"/>
      <w:lang w:val="x-none"/>
    </w:rPr>
  </w:style>
  <w:style w:type="character" w:customStyle="1" w:styleId="CorpsdetexteCar">
    <w:name w:val="Corps de texte Car"/>
    <w:basedOn w:val="Policepardfaut"/>
    <w:link w:val="Corpsdetexte"/>
    <w:uiPriority w:val="99"/>
    <w:semiHidden/>
    <w:rsid w:val="00EB5699"/>
    <w:rPr>
      <w:rFonts w:ascii="Calibri" w:eastAsia="Calibri" w:hAnsi="Calibri" w:cs="Times New Roman"/>
      <w:lang w:val="x-none"/>
    </w:rPr>
  </w:style>
  <w:style w:type="paragraph" w:customStyle="1" w:styleId="text-center">
    <w:name w:val="text-center"/>
    <w:basedOn w:val="Normal"/>
    <w:uiPriority w:val="99"/>
    <w:semiHidden/>
    <w:rsid w:val="00EB5699"/>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ev">
    <w:name w:val="Strong"/>
    <w:basedOn w:val="Policepardfaut"/>
    <w:uiPriority w:val="22"/>
    <w:qFormat/>
    <w:rsid w:val="00EB5699"/>
    <w:rPr>
      <w:b/>
      <w:bCs/>
    </w:rPr>
  </w:style>
  <w:style w:type="paragraph" w:styleId="Textedebulles">
    <w:name w:val="Balloon Text"/>
    <w:basedOn w:val="Normal"/>
    <w:link w:val="TextedebullesCar"/>
    <w:uiPriority w:val="99"/>
    <w:semiHidden/>
    <w:unhideWhenUsed/>
    <w:rsid w:val="00C728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28C3"/>
    <w:rPr>
      <w:rFonts w:ascii="Segoe UI" w:hAnsi="Segoe UI" w:cs="Segoe UI"/>
      <w:sz w:val="18"/>
      <w:szCs w:val="18"/>
    </w:rPr>
  </w:style>
  <w:style w:type="paragraph" w:customStyle="1" w:styleId="ox-67c4ae8986-msolistparagraph">
    <w:name w:val="ox-67c4ae8986-msolistparagraph"/>
    <w:basedOn w:val="Normal"/>
    <w:rsid w:val="00C728C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2437</Words>
  <Characters>13405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2025-10-16T13:16:00Z</cp:lastPrinted>
  <dcterms:created xsi:type="dcterms:W3CDTF">2025-10-31T13:29:00Z</dcterms:created>
  <dcterms:modified xsi:type="dcterms:W3CDTF">2025-10-31T13:29:00Z</dcterms:modified>
</cp:coreProperties>
</file>